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32" w:rsidRPr="00C17EC9" w:rsidRDefault="00D73D32" w:rsidP="00D73D3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ind w:left="360"/>
        <w:rPr>
          <w:szCs w:val="24"/>
        </w:rPr>
      </w:pPr>
      <w:r w:rsidRPr="007A351E">
        <w:rPr>
          <w:b/>
          <w:szCs w:val="24"/>
          <w:u w:val="single"/>
        </w:rPr>
        <w:t>Carrera:</w:t>
      </w:r>
      <w:r>
        <w:rPr>
          <w:b/>
          <w:szCs w:val="24"/>
          <w:u w:val="single"/>
        </w:rPr>
        <w:t xml:space="preserve"> </w:t>
      </w:r>
      <w:r>
        <w:rPr>
          <w:szCs w:val="24"/>
        </w:rPr>
        <w:t>Profesorado de Inglés.</w:t>
      </w:r>
    </w:p>
    <w:p w:rsidR="00D73D32" w:rsidRPr="007A351E" w:rsidRDefault="00D73D32" w:rsidP="00D73D3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ind w:left="360"/>
        <w:rPr>
          <w:b/>
          <w:szCs w:val="24"/>
        </w:rPr>
      </w:pPr>
      <w:r w:rsidRPr="007A351E">
        <w:rPr>
          <w:b/>
          <w:szCs w:val="24"/>
          <w:u w:val="single"/>
        </w:rPr>
        <w:t>Año:</w:t>
      </w:r>
      <w:r>
        <w:rPr>
          <w:b/>
          <w:szCs w:val="24"/>
        </w:rPr>
        <w:t xml:space="preserve"> 201</w:t>
      </w:r>
      <w:r w:rsidR="002C35BF">
        <w:rPr>
          <w:b/>
          <w:szCs w:val="24"/>
        </w:rPr>
        <w:t>9</w:t>
      </w:r>
      <w:bookmarkStart w:id="0" w:name="_GoBack"/>
      <w:bookmarkEnd w:id="0"/>
    </w:p>
    <w:p w:rsidR="00D73D32" w:rsidRPr="00C17EC9" w:rsidRDefault="00D73D32" w:rsidP="00D73D3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ind w:left="360"/>
        <w:rPr>
          <w:szCs w:val="24"/>
        </w:rPr>
      </w:pPr>
      <w:r w:rsidRPr="007A351E">
        <w:rPr>
          <w:b/>
          <w:szCs w:val="24"/>
          <w:u w:val="single"/>
        </w:rPr>
        <w:t>Curso:</w:t>
      </w:r>
      <w:r w:rsidRPr="007A351E">
        <w:rPr>
          <w:b/>
          <w:szCs w:val="24"/>
        </w:rPr>
        <w:t xml:space="preserve"> </w:t>
      </w:r>
      <w:r>
        <w:rPr>
          <w:szCs w:val="24"/>
        </w:rPr>
        <w:t xml:space="preserve">4° Año. 1ra. </w:t>
      </w:r>
      <w:proofErr w:type="spellStart"/>
      <w:r>
        <w:rPr>
          <w:szCs w:val="24"/>
        </w:rPr>
        <w:t>Div</w:t>
      </w:r>
      <w:proofErr w:type="spellEnd"/>
      <w:r>
        <w:rPr>
          <w:szCs w:val="24"/>
        </w:rPr>
        <w:t>.</w:t>
      </w:r>
    </w:p>
    <w:p w:rsidR="00D73D32" w:rsidRPr="00C17EC9" w:rsidRDefault="00D73D32" w:rsidP="00D73D3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ind w:left="360"/>
        <w:rPr>
          <w:szCs w:val="24"/>
        </w:rPr>
      </w:pPr>
      <w:r>
        <w:rPr>
          <w:b/>
          <w:szCs w:val="24"/>
          <w:u w:val="single"/>
        </w:rPr>
        <w:t>Unidad Curricular:</w:t>
      </w:r>
      <w:r w:rsidRPr="007A351E">
        <w:rPr>
          <w:b/>
          <w:szCs w:val="24"/>
        </w:rPr>
        <w:t xml:space="preserve"> </w:t>
      </w:r>
      <w:r>
        <w:rPr>
          <w:szCs w:val="24"/>
        </w:rPr>
        <w:t>Interculturalidad.</w:t>
      </w:r>
    </w:p>
    <w:p w:rsidR="00D73D32" w:rsidRPr="00C17EC9" w:rsidRDefault="00D73D32" w:rsidP="00D73D3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ind w:left="360"/>
        <w:rPr>
          <w:szCs w:val="24"/>
        </w:rPr>
      </w:pPr>
      <w:r w:rsidRPr="007A351E">
        <w:rPr>
          <w:b/>
          <w:szCs w:val="24"/>
          <w:u w:val="single"/>
        </w:rPr>
        <w:t>Cantidad de Horas Cátedras semanales:</w:t>
      </w:r>
      <w:r>
        <w:rPr>
          <w:b/>
          <w:szCs w:val="24"/>
          <w:u w:val="single"/>
        </w:rPr>
        <w:t xml:space="preserve"> </w:t>
      </w:r>
      <w:r>
        <w:rPr>
          <w:szCs w:val="24"/>
        </w:rPr>
        <w:t>04</w:t>
      </w:r>
    </w:p>
    <w:p w:rsidR="00D73D32" w:rsidRPr="00C17EC9" w:rsidRDefault="00D73D32" w:rsidP="00D73D3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ind w:left="360"/>
        <w:rPr>
          <w:szCs w:val="24"/>
        </w:rPr>
      </w:pPr>
      <w:r w:rsidRPr="007A351E">
        <w:rPr>
          <w:b/>
          <w:szCs w:val="24"/>
          <w:u w:val="single"/>
        </w:rPr>
        <w:t>Cuatrimestre:</w:t>
      </w:r>
      <w:r w:rsidRPr="007A351E">
        <w:rPr>
          <w:b/>
          <w:szCs w:val="24"/>
        </w:rPr>
        <w:t xml:space="preserve"> </w:t>
      </w:r>
      <w:r>
        <w:rPr>
          <w:szCs w:val="24"/>
        </w:rPr>
        <w:t>Anual.</w:t>
      </w:r>
    </w:p>
    <w:p w:rsidR="00D73D32" w:rsidRPr="00C17EC9" w:rsidRDefault="00D73D32" w:rsidP="00D73D3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ind w:left="360"/>
      </w:pPr>
      <w:r w:rsidRPr="007A351E">
        <w:rPr>
          <w:b/>
          <w:szCs w:val="24"/>
          <w:u w:val="single"/>
        </w:rPr>
        <w:t>Profesor</w:t>
      </w:r>
      <w:r>
        <w:rPr>
          <w:b/>
          <w:szCs w:val="24"/>
          <w:u w:val="single"/>
        </w:rPr>
        <w:t>/a</w:t>
      </w:r>
      <w:r w:rsidRPr="007A351E">
        <w:rPr>
          <w:b/>
          <w:szCs w:val="24"/>
          <w:u w:val="single"/>
        </w:rPr>
        <w:t>:</w:t>
      </w:r>
      <w:r w:rsidRPr="007A351E">
        <w:rPr>
          <w:b/>
          <w:szCs w:val="24"/>
        </w:rPr>
        <w:t xml:space="preserve"> </w:t>
      </w:r>
      <w:r>
        <w:rPr>
          <w:szCs w:val="24"/>
        </w:rPr>
        <w:t xml:space="preserve">Obregón, Dante </w:t>
      </w:r>
      <w:proofErr w:type="spellStart"/>
      <w:r>
        <w:rPr>
          <w:szCs w:val="24"/>
        </w:rPr>
        <w:t>Victor</w:t>
      </w:r>
      <w:proofErr w:type="spellEnd"/>
      <w:r>
        <w:rPr>
          <w:szCs w:val="24"/>
        </w:rPr>
        <w:t>.</w:t>
      </w:r>
    </w:p>
    <w:tbl>
      <w:tblPr>
        <w:tblStyle w:val="Cuadrculamedia1-nfasis2"/>
        <w:tblW w:w="17010" w:type="dxa"/>
        <w:tblInd w:w="392" w:type="dxa"/>
        <w:tblLook w:val="04A0" w:firstRow="1" w:lastRow="0" w:firstColumn="1" w:lastColumn="0" w:noHBand="0" w:noVBand="1"/>
      </w:tblPr>
      <w:tblGrid>
        <w:gridCol w:w="6170"/>
        <w:gridCol w:w="10840"/>
      </w:tblGrid>
      <w:tr w:rsidR="00D73D32" w:rsidRPr="00123BBC" w:rsidTr="00D367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0" w:type="dxa"/>
            <w:gridSpan w:val="2"/>
          </w:tcPr>
          <w:p w:rsidR="00D73D32" w:rsidRPr="00123BBC" w:rsidRDefault="00D73D32" w:rsidP="00D36721">
            <w:pPr>
              <w:pStyle w:val="NormalWeb"/>
              <w:spacing w:before="0" w:beforeAutospacing="0" w:after="0" w:afterAutospacing="0"/>
              <w:ind w:left="720"/>
              <w:jc w:val="center"/>
              <w:rPr>
                <w:rFonts w:asciiTheme="minorHAnsi" w:hAnsiTheme="minorHAnsi" w:cstheme="minorHAnsi"/>
              </w:rPr>
            </w:pPr>
          </w:p>
          <w:p w:rsidR="00D73D32" w:rsidRDefault="00D73D32" w:rsidP="00D36721">
            <w:pPr>
              <w:pStyle w:val="NormalWeb"/>
              <w:spacing w:before="0" w:beforeAutospacing="0" w:after="0" w:afterAutospacing="0"/>
              <w:ind w:left="720"/>
              <w:jc w:val="center"/>
              <w:rPr>
                <w:rFonts w:asciiTheme="minorHAnsi" w:hAnsiTheme="minorHAnsi" w:cstheme="minorHAnsi"/>
              </w:rPr>
            </w:pPr>
            <w:r w:rsidRPr="00123BBC">
              <w:rPr>
                <w:rFonts w:asciiTheme="minorHAnsi" w:hAnsiTheme="minorHAnsi" w:cstheme="minorHAnsi"/>
              </w:rPr>
              <w:t>FUNDAMENTACIÓN DE LA UNIDAD CURRICULAR</w:t>
            </w:r>
          </w:p>
          <w:p w:rsidR="00D73D32" w:rsidRPr="0064453F" w:rsidRDefault="00D73D32" w:rsidP="00D36721">
            <w:pPr>
              <w:pStyle w:val="NormalWeb"/>
              <w:spacing w:before="0" w:beforeAutospacing="0" w:after="0" w:afterAutospacing="0"/>
              <w:ind w:left="720"/>
              <w:jc w:val="both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 xml:space="preserve">En un mundo que experimenta rápidos cambios y en que la agitación cultural, política, económica y social pone en tela de juicio los modos tradicionales de vida, la educación tiene una misión importante que cumplir en la promoción de la cohesión social y la coexistencia pacífica. La educación intercultural es una respuesta al reto de proporcionar educación de calidad para todos. Por ello, la </w:t>
            </w:r>
            <w:proofErr w:type="gramStart"/>
            <w:r>
              <w:rPr>
                <w:rFonts w:asciiTheme="minorHAnsi" w:hAnsiTheme="minorHAnsi" w:cstheme="minorHAnsi"/>
                <w:b w:val="0"/>
              </w:rPr>
              <w:t>formación  de</w:t>
            </w:r>
            <w:proofErr w:type="gramEnd"/>
            <w:r>
              <w:rPr>
                <w:rFonts w:asciiTheme="minorHAnsi" w:hAnsiTheme="minorHAnsi" w:cstheme="minorHAnsi"/>
                <w:b w:val="0"/>
              </w:rPr>
              <w:t xml:space="preserve"> los futuros Profesores de Inglés en el Chaco, tiende a generar una profunda comprensión del paradigma intercultural en la Educación y su importancia para la transformación de la práctica cotidiana en las aulas, y las comunidades y una conciencia crítica del papel que la educación debe desempeñar en la lucha contra el racismo y la discriminación. Abordar el campo de la Educación Intercultural, supone un enfoque basado en el respeto y apreciación de la diversidad cultural, en éste sentido se dirige a todos y cada uno de los miembros de la sociedad en su conjunto conozca, comprenda y valore las mismas, y desde estas bases interactúe con ellas en un plano de igualdad y justicia social, aspirando a lograr una auténtica igualdad de oportunidades y equidad. Los contenidos y la bibliografía propuestos, son una invitación constante a debatir y realizar cuestionamientos a situaciones legitimadas históricamente. Entre ellos, se destaca la pregunta acerca de qué modo los patrones de conducta de los más desfavorecidos se transmiten a través de la familia, dando origen a formas típicas de los pobres para enfrentar la vida. De hecho, la pobreza altera aspectos de la universalidad y de la diversidad cultural, los cuales suelen girar en torno al intercambio recíproco de los sistemas simbólico, </w:t>
            </w:r>
            <w:proofErr w:type="spellStart"/>
            <w:r>
              <w:rPr>
                <w:rFonts w:asciiTheme="minorHAnsi" w:hAnsiTheme="minorHAnsi" w:cstheme="minorHAnsi"/>
                <w:b w:val="0"/>
              </w:rPr>
              <w:t>afiliativo</w:t>
            </w:r>
            <w:proofErr w:type="spellEnd"/>
            <w:r>
              <w:rPr>
                <w:rFonts w:asciiTheme="minorHAnsi" w:hAnsiTheme="minorHAnsi" w:cstheme="minorHAnsi"/>
                <w:b w:val="0"/>
              </w:rPr>
              <w:t xml:space="preserve"> y económico. Alterar la </w:t>
            </w:r>
            <w:proofErr w:type="gramStart"/>
            <w:r>
              <w:rPr>
                <w:rFonts w:asciiTheme="minorHAnsi" w:hAnsiTheme="minorHAnsi" w:cstheme="minorHAnsi"/>
                <w:b w:val="0"/>
              </w:rPr>
              <w:t>participación  humana</w:t>
            </w:r>
            <w:proofErr w:type="gramEnd"/>
            <w:r>
              <w:rPr>
                <w:rFonts w:asciiTheme="minorHAnsi" w:hAnsiTheme="minorHAnsi" w:cstheme="minorHAnsi"/>
                <w:b w:val="0"/>
              </w:rPr>
              <w:t xml:space="preserve"> en cualquiera de estos sistemas equivale a forzar un cambio en la forma peculiar en que el hombre realiza sus cometidos en la vida. No en vano nuestra tarea consiste en adaptarnos a estos sistemas de intercambio: formarnos unas expectativas en relación con el respeto, la afiliación y el consumo material. Aquí se aprecia la importancia de la pobreza, ya que afecta a la estructura familiar, al propio sentido simbólico del valor, al sentimiento personal de control. Por lo expuesto, en el proceso pedagógico se pretende propiciar la apertura intelectual y la capacidad de interesar a los educandos en el aprendizaje y la comprensión de los demás.</w:t>
            </w:r>
          </w:p>
          <w:p w:rsidR="00D73D32" w:rsidRPr="00123BBC" w:rsidRDefault="00D73D32" w:rsidP="00D36721">
            <w:pPr>
              <w:pStyle w:val="NormalWeb"/>
              <w:spacing w:before="0" w:beforeAutospacing="0" w:after="0" w:afterAutospacing="0"/>
              <w:ind w:left="720"/>
              <w:jc w:val="both"/>
              <w:rPr>
                <w:rFonts w:asciiTheme="minorHAnsi" w:hAnsiTheme="minorHAnsi" w:cstheme="minorHAnsi"/>
              </w:rPr>
            </w:pPr>
          </w:p>
          <w:p w:rsidR="00D73D32" w:rsidRPr="00123BBC" w:rsidRDefault="00D73D32" w:rsidP="00D36721">
            <w:pPr>
              <w:pStyle w:val="Default"/>
              <w:jc w:val="both"/>
              <w:rPr>
                <w:rFonts w:cstheme="minorHAnsi"/>
                <w:color w:val="auto"/>
              </w:rPr>
            </w:pPr>
          </w:p>
        </w:tc>
      </w:tr>
      <w:tr w:rsidR="00D73D32" w:rsidTr="00D367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0" w:type="dxa"/>
          </w:tcPr>
          <w:p w:rsidR="00D73D32" w:rsidRDefault="00D73D32" w:rsidP="00D3672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23BBC">
              <w:rPr>
                <w:rFonts w:asciiTheme="minorHAnsi" w:hAnsiTheme="minorHAnsi" w:cstheme="minorHAnsi"/>
                <w:szCs w:val="24"/>
              </w:rPr>
              <w:t xml:space="preserve">OBJETIVOS GENERALES </w:t>
            </w:r>
          </w:p>
          <w:p w:rsidR="00D73D32" w:rsidRPr="00F42290" w:rsidRDefault="00D73D32" w:rsidP="00D3672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Proporcionar un marco conceptual básico en torno de la interculturalidad.</w:t>
            </w:r>
          </w:p>
          <w:p w:rsidR="00D73D32" w:rsidRPr="00F42290" w:rsidRDefault="00D73D32" w:rsidP="00D3672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Conocer y reflexionar sobre el proceso histórico del enfoque intercultural.</w:t>
            </w:r>
          </w:p>
          <w:p w:rsidR="00D73D32" w:rsidRPr="0089231D" w:rsidRDefault="00D73D32" w:rsidP="00D3672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Manejar la información en forma clara, empleando diversos registros y distintos tipos de fuentes, analizándola críticamente, contrastando opiniones diferentes y presentándola de manera clara a través de diversos recursos expresivos.</w:t>
            </w:r>
          </w:p>
          <w:p w:rsidR="00D73D32" w:rsidRPr="0089231D" w:rsidRDefault="00D73D32" w:rsidP="00D3672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 xml:space="preserve">Analizar en los alumnos actitudes positivas hacia la comunidad, hacia el otro y hacia sí mismo, para formar </w:t>
            </w:r>
            <w:r>
              <w:rPr>
                <w:rFonts w:asciiTheme="minorHAnsi" w:hAnsiTheme="minorHAnsi" w:cstheme="minorHAnsi"/>
                <w:b w:val="0"/>
                <w:szCs w:val="24"/>
              </w:rPr>
              <w:lastRenderedPageBreak/>
              <w:t>ciudadanos solidarios, responsables, identificados con los derechos humanos y los valores democráticos.</w:t>
            </w:r>
          </w:p>
          <w:p w:rsidR="00D73D32" w:rsidRPr="0089231D" w:rsidRDefault="00D73D32" w:rsidP="00D3672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Pensar el problema de la diversidad como una práctica social que a partir del conflicto enriquece la comprensión de la realidad y entreteje saberes.</w:t>
            </w:r>
          </w:p>
          <w:p w:rsidR="00D73D32" w:rsidRPr="0089231D" w:rsidRDefault="00D73D32" w:rsidP="00D3672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Reflexionar sobre la escuela, a partir de la diferencia, como generadora de enunciados de poder que involucran, desde el lenguaje, múltiples maneras de construcción y deconstrucción del otro, así como las dinámicas de integración en la constitución del imaginario y las prácticas simbólicas de la alteridad.</w:t>
            </w:r>
          </w:p>
          <w:p w:rsidR="00D73D32" w:rsidRPr="00FE4A84" w:rsidRDefault="00D73D32" w:rsidP="00D3672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Valorar la importancia de la interculturalidad como una práctica democrática en una sociedad multicultural.</w:t>
            </w:r>
          </w:p>
          <w:p w:rsidR="00D73D32" w:rsidRPr="00123BBC" w:rsidRDefault="00D73D32" w:rsidP="00D3672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840" w:type="dxa"/>
          </w:tcPr>
          <w:p w:rsidR="00D73D32" w:rsidRDefault="00D73D32" w:rsidP="00D367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4"/>
              </w:rPr>
            </w:pPr>
            <w:r w:rsidRPr="00123BBC">
              <w:rPr>
                <w:rFonts w:asciiTheme="minorHAnsi" w:hAnsiTheme="minorHAnsi" w:cstheme="minorHAnsi"/>
                <w:b/>
                <w:szCs w:val="24"/>
              </w:rPr>
              <w:lastRenderedPageBreak/>
              <w:t>COMPETENCIAS DE LA UNIDAD CURRICULAR</w:t>
            </w:r>
          </w:p>
          <w:p w:rsidR="00D73D32" w:rsidRPr="00E4630D" w:rsidRDefault="00D73D32" w:rsidP="00D73D32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Seleccionar, analizar y comparar la información proporcionada por un conjunto de fuentes.</w:t>
            </w:r>
          </w:p>
          <w:p w:rsidR="00D73D32" w:rsidRPr="00E4630D" w:rsidRDefault="00D73D32" w:rsidP="00D73D32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Vincular las diferentes interpretaciones del pasado.</w:t>
            </w:r>
          </w:p>
          <w:p w:rsidR="00D73D32" w:rsidRPr="00E4630D" w:rsidRDefault="00D73D32" w:rsidP="00D73D32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Investigar distintas teorías aplicables a la promoción de la diversidad cultural.</w:t>
            </w:r>
          </w:p>
          <w:p w:rsidR="00D73D32" w:rsidRPr="00962ECF" w:rsidRDefault="00D73D32" w:rsidP="00D73D32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Secuenciar hechos, fenómenos del proceso histórico de los pueblos originarios.</w:t>
            </w:r>
          </w:p>
          <w:p w:rsidR="00D73D32" w:rsidRPr="00962ECF" w:rsidRDefault="00D73D32" w:rsidP="00D73D32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Expresar gráficamente procesos (líneas cronológicas, diagramas).</w:t>
            </w:r>
          </w:p>
          <w:p w:rsidR="00D73D32" w:rsidRPr="00962ECF" w:rsidRDefault="00D73D32" w:rsidP="00D73D32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Relacionar unidades cronológicas.</w:t>
            </w:r>
          </w:p>
          <w:p w:rsidR="00D73D32" w:rsidRPr="00962ECF" w:rsidRDefault="00D73D32" w:rsidP="00D73D32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Asumir una actitud investigativa.</w:t>
            </w:r>
          </w:p>
          <w:p w:rsidR="00D73D32" w:rsidRPr="00962ECF" w:rsidRDefault="00D73D32" w:rsidP="00D73D32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Valorar el trabajo en equipo.</w:t>
            </w:r>
          </w:p>
          <w:p w:rsidR="00D73D32" w:rsidRPr="00962ECF" w:rsidRDefault="00D73D32" w:rsidP="00D73D32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Valorar la lectura de libros de novela o de ensayos para acrecentar la información requerida.</w:t>
            </w:r>
          </w:p>
          <w:p w:rsidR="00D73D32" w:rsidRPr="00E4630D" w:rsidRDefault="00D73D32" w:rsidP="00D73D32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Confiar en sus posibilidades y preparación en la defensa oral de sus trabajos escritos de investigación.</w:t>
            </w:r>
          </w:p>
          <w:p w:rsidR="00D73D32" w:rsidRPr="00123BBC" w:rsidRDefault="00D73D32" w:rsidP="00D3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4"/>
              </w:rPr>
            </w:pPr>
          </w:p>
          <w:p w:rsidR="00D73D32" w:rsidRPr="00123BBC" w:rsidRDefault="00D73D32" w:rsidP="00D367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4"/>
              </w:rPr>
            </w:pPr>
          </w:p>
          <w:p w:rsidR="00D73D32" w:rsidRPr="00123BBC" w:rsidRDefault="00D73D32" w:rsidP="00D3672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Cs w:val="24"/>
                <w:lang w:val="es-AR" w:eastAsia="en-US"/>
              </w:rPr>
            </w:pPr>
          </w:p>
          <w:p w:rsidR="00D73D32" w:rsidRPr="00123BBC" w:rsidRDefault="00D73D32" w:rsidP="00D367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4"/>
              </w:rPr>
            </w:pPr>
          </w:p>
          <w:p w:rsidR="00D73D32" w:rsidRPr="00123BBC" w:rsidRDefault="00D73D32" w:rsidP="00D3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C0504D" w:themeColor="accent2"/>
                <w:szCs w:val="24"/>
              </w:rPr>
            </w:pPr>
            <w:r w:rsidRPr="00123BBC">
              <w:rPr>
                <w:rFonts w:asciiTheme="minorHAnsi" w:hAnsiTheme="minorHAnsi" w:cstheme="minorHAnsi"/>
                <w:b/>
                <w:szCs w:val="24"/>
              </w:rPr>
              <w:t xml:space="preserve">           </w:t>
            </w:r>
          </w:p>
        </w:tc>
      </w:tr>
      <w:tr w:rsidR="00D73D32" w:rsidTr="00D36721">
        <w:trPr>
          <w:trHeight w:val="8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0" w:type="dxa"/>
            <w:gridSpan w:val="2"/>
          </w:tcPr>
          <w:p w:rsidR="00D73D32" w:rsidRPr="00A44B8D" w:rsidRDefault="00D73D32" w:rsidP="00D36721">
            <w:pPr>
              <w:jc w:val="both"/>
            </w:pPr>
          </w:p>
          <w:p w:rsidR="00D73D32" w:rsidRDefault="00D73D32" w:rsidP="00D36721">
            <w:pPr>
              <w:jc w:val="center"/>
            </w:pPr>
            <w:r w:rsidRPr="00A44B8D">
              <w:t>OBJE</w:t>
            </w:r>
            <w:r>
              <w:t>TIVOS ESPECÍFICOS</w:t>
            </w:r>
            <w:r w:rsidRPr="00A44B8D">
              <w:t xml:space="preserve"> POR UNIDAD DIDÁCTICA</w:t>
            </w:r>
          </w:p>
          <w:p w:rsidR="00D73D32" w:rsidRDefault="00D73D32" w:rsidP="00D36721">
            <w:pPr>
              <w:jc w:val="both"/>
            </w:pPr>
          </w:p>
          <w:p w:rsidR="00D73D32" w:rsidRDefault="00D73D32" w:rsidP="00D36721">
            <w:pPr>
              <w:jc w:val="both"/>
            </w:pPr>
          </w:p>
          <w:p w:rsidR="00D73D32" w:rsidRDefault="00D73D32" w:rsidP="00D36721">
            <w:pPr>
              <w:jc w:val="both"/>
              <w:rPr>
                <w:bCs w:val="0"/>
              </w:rPr>
            </w:pPr>
            <w:r>
              <w:rPr>
                <w:bCs w:val="0"/>
              </w:rPr>
              <w:t xml:space="preserve">Unidad I: </w:t>
            </w:r>
          </w:p>
          <w:p w:rsidR="00D73D32" w:rsidRPr="00744BD4" w:rsidRDefault="00D73D32" w:rsidP="00D36721">
            <w:pPr>
              <w:jc w:val="both"/>
              <w:rPr>
                <w:b w:val="0"/>
                <w:bCs w:val="0"/>
              </w:rPr>
            </w:pPr>
            <w:r>
              <w:rPr>
                <w:bCs w:val="0"/>
              </w:rPr>
              <w:t xml:space="preserve">- </w:t>
            </w:r>
            <w:r>
              <w:rPr>
                <w:b w:val="0"/>
                <w:bCs w:val="0"/>
              </w:rPr>
              <w:t>Comprender los conceptos de cultura, identidad y contacto cultural.</w:t>
            </w:r>
          </w:p>
          <w:p w:rsidR="00D73D32" w:rsidRDefault="00D73D32" w:rsidP="00D36721">
            <w:pPr>
              <w:jc w:val="both"/>
              <w:rPr>
                <w:bCs w:val="0"/>
              </w:rPr>
            </w:pPr>
            <w:r>
              <w:rPr>
                <w:bCs w:val="0"/>
              </w:rPr>
              <w:t xml:space="preserve">- </w:t>
            </w:r>
            <w:r>
              <w:rPr>
                <w:b w:val="0"/>
                <w:bCs w:val="0"/>
              </w:rPr>
              <w:t>Comprender la naturaleza de los contactos y relaciones entre culturas y su impacto sobre las identidades personales, comunales y nacionales.</w:t>
            </w:r>
          </w:p>
          <w:p w:rsidR="00D73D32" w:rsidRDefault="00D73D32" w:rsidP="00D36721">
            <w:pPr>
              <w:jc w:val="both"/>
              <w:rPr>
                <w:bCs w:val="0"/>
              </w:rPr>
            </w:pPr>
            <w:r>
              <w:rPr>
                <w:bCs w:val="0"/>
              </w:rPr>
              <w:t>Unidad II:</w:t>
            </w:r>
          </w:p>
          <w:p w:rsidR="00D73D32" w:rsidRPr="00744BD4" w:rsidRDefault="00D73D32" w:rsidP="00D36721">
            <w:pPr>
              <w:jc w:val="both"/>
              <w:rPr>
                <w:b w:val="0"/>
                <w:bCs w:val="0"/>
              </w:rPr>
            </w:pPr>
            <w:r>
              <w:rPr>
                <w:bCs w:val="0"/>
              </w:rPr>
              <w:t xml:space="preserve">- </w:t>
            </w:r>
            <w:r>
              <w:rPr>
                <w:b w:val="0"/>
                <w:bCs w:val="0"/>
              </w:rPr>
              <w:t>Entender los deberes actuales sobre relativismo y universalismo.</w:t>
            </w:r>
          </w:p>
          <w:p w:rsidR="00D73D32" w:rsidRDefault="00D73D32" w:rsidP="00D36721">
            <w:pPr>
              <w:jc w:val="both"/>
              <w:rPr>
                <w:b w:val="0"/>
                <w:bCs w:val="0"/>
              </w:rPr>
            </w:pPr>
            <w:r>
              <w:rPr>
                <w:bCs w:val="0"/>
              </w:rPr>
              <w:t xml:space="preserve">- </w:t>
            </w:r>
            <w:r>
              <w:rPr>
                <w:b w:val="0"/>
                <w:bCs w:val="0"/>
              </w:rPr>
              <w:t>Incorporar estrategias que permitan abordar las relaciones entre diferentes grupos culturales.</w:t>
            </w:r>
          </w:p>
          <w:p w:rsidR="00D73D32" w:rsidRDefault="00D73D32" w:rsidP="00D36721">
            <w:pPr>
              <w:jc w:val="both"/>
              <w:rPr>
                <w:bCs w:val="0"/>
              </w:rPr>
            </w:pPr>
            <w:r>
              <w:rPr>
                <w:bCs w:val="0"/>
              </w:rPr>
              <w:t>Unidad III:</w:t>
            </w:r>
          </w:p>
          <w:p w:rsidR="00D73D32" w:rsidRDefault="00D73D32" w:rsidP="00D36721">
            <w:pPr>
              <w:jc w:val="both"/>
              <w:rPr>
                <w:b w:val="0"/>
                <w:bCs w:val="0"/>
              </w:rPr>
            </w:pPr>
            <w:r>
              <w:rPr>
                <w:bCs w:val="0"/>
              </w:rPr>
              <w:t>-</w:t>
            </w:r>
            <w:r>
              <w:rPr>
                <w:b w:val="0"/>
                <w:bCs w:val="0"/>
              </w:rPr>
              <w:t>Investigar concepciones de conocimiento, culturas, civilización, raza/etnias, género, ética.</w:t>
            </w:r>
          </w:p>
          <w:p w:rsidR="00D73D32" w:rsidRPr="002C6309" w:rsidRDefault="00D73D32" w:rsidP="00D36721">
            <w:p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-Reflexionar sobre la constitución de la subjetividad, intersubjetividad.</w:t>
            </w:r>
          </w:p>
          <w:p w:rsidR="00D73D32" w:rsidRDefault="00D73D32" w:rsidP="00D36721">
            <w:pPr>
              <w:rPr>
                <w:b w:val="0"/>
              </w:rPr>
            </w:pPr>
          </w:p>
          <w:p w:rsidR="00D73D32" w:rsidRDefault="00D73D32" w:rsidP="00D36721">
            <w:pPr>
              <w:rPr>
                <w:b w:val="0"/>
                <w:bCs w:val="0"/>
              </w:rPr>
            </w:pPr>
          </w:p>
          <w:p w:rsidR="00D73D32" w:rsidRDefault="00D73D32" w:rsidP="00D36721">
            <w:pPr>
              <w:rPr>
                <w:b w:val="0"/>
                <w:bCs w:val="0"/>
              </w:rPr>
            </w:pPr>
          </w:p>
          <w:p w:rsidR="00D73D32" w:rsidRPr="00A44B8D" w:rsidRDefault="00D73D32" w:rsidP="00D36721">
            <w:pPr>
              <w:jc w:val="both"/>
              <w:rPr>
                <w:b w:val="0"/>
              </w:rPr>
            </w:pPr>
          </w:p>
        </w:tc>
      </w:tr>
      <w:tr w:rsidR="00D73D32" w:rsidTr="00D367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0" w:type="dxa"/>
            <w:gridSpan w:val="2"/>
          </w:tcPr>
          <w:p w:rsidR="00D73D32" w:rsidRDefault="00D73D32" w:rsidP="00D36721">
            <w:pPr>
              <w:jc w:val="center"/>
            </w:pPr>
            <w:r>
              <w:t>CONTENIDOS</w:t>
            </w:r>
          </w:p>
          <w:p w:rsidR="00D73D32" w:rsidRDefault="00D73D32" w:rsidP="00D36721">
            <w:pPr>
              <w:jc w:val="center"/>
            </w:pPr>
            <w:r>
              <w:t>POR UNIDAD, CON EJE TEMÁTICO</w:t>
            </w:r>
          </w:p>
          <w:p w:rsidR="00D73D32" w:rsidRDefault="00D73D32" w:rsidP="00D36721">
            <w:pPr>
              <w:jc w:val="both"/>
            </w:pPr>
          </w:p>
          <w:p w:rsidR="00D73D32" w:rsidRPr="00115A1D" w:rsidRDefault="00D73D32" w:rsidP="00D36721">
            <w:pPr>
              <w:jc w:val="both"/>
              <w:rPr>
                <w:rFonts w:asciiTheme="minorHAnsi" w:hAnsiTheme="minorHAnsi" w:cstheme="minorHAnsi"/>
                <w:b w:val="0"/>
                <w:color w:val="000000"/>
                <w:sz w:val="21"/>
                <w:szCs w:val="21"/>
              </w:rPr>
            </w:pPr>
            <w:r w:rsidRPr="003078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Unidad I:</w:t>
            </w:r>
            <w:r w:rsidRPr="00115A1D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Cultura.</w:t>
            </w:r>
          </w:p>
          <w:p w:rsidR="00D73D32" w:rsidRDefault="00D73D32" w:rsidP="00D36721">
            <w:pPr>
              <w:jc w:val="both"/>
              <w:rPr>
                <w:rFonts w:asciiTheme="minorHAnsi" w:hAnsiTheme="minorHAnsi" w:cstheme="minorHAnsi"/>
                <w:b w:val="0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1"/>
                <w:szCs w:val="21"/>
              </w:rPr>
              <w:t>-Nociones de diferencia y diversidad. Cultura. Elementos constituyentes de la cultura: creencias, tabúes, mitología, religión, símbolos, valores, costumbres, sistemas sociales. Características de la cultura. Raza, racismo. Multiculturalismo e interculturalidad. Interrelaciones entre cultura y educación. Cultura y lenguaje. Culturas mayoritarias y culturas minoritarias. Culturas minoritarias: pueblos autóctonos o indígenas, minorías territoriales, minorías no territoriales o nómadas, inmigrantes. La cuestión de la otredad.</w:t>
            </w:r>
          </w:p>
          <w:p w:rsidR="00D73D32" w:rsidRDefault="00D73D32" w:rsidP="00D36721">
            <w:pPr>
              <w:jc w:val="both"/>
              <w:rPr>
                <w:rFonts w:asciiTheme="minorHAnsi" w:hAnsiTheme="minorHAnsi" w:cstheme="minorHAnsi"/>
                <w:b w:val="0"/>
                <w:color w:val="000000"/>
                <w:sz w:val="21"/>
                <w:szCs w:val="21"/>
              </w:rPr>
            </w:pPr>
          </w:p>
          <w:p w:rsidR="00D73D32" w:rsidRDefault="00D73D32" w:rsidP="00D36721">
            <w:pPr>
              <w:jc w:val="both"/>
              <w:rPr>
                <w:rFonts w:asciiTheme="minorHAnsi" w:hAnsiTheme="minorHAnsi" w:cstheme="minorHAnsi"/>
                <w:b w:val="0"/>
                <w:color w:val="000000"/>
                <w:sz w:val="21"/>
                <w:szCs w:val="21"/>
              </w:rPr>
            </w:pPr>
          </w:p>
          <w:p w:rsidR="00D73D32" w:rsidRPr="00E70A4C" w:rsidRDefault="00D73D32" w:rsidP="00D36721">
            <w:pPr>
              <w:jc w:val="both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3078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Unidad II</w:t>
            </w:r>
            <w:r>
              <w:rPr>
                <w:rFonts w:asciiTheme="minorHAnsi" w:hAnsiTheme="minorHAnsi" w:cstheme="minorHAnsi"/>
                <w:b w:val="0"/>
                <w:color w:val="000000"/>
                <w:sz w:val="21"/>
                <w:szCs w:val="21"/>
              </w:rPr>
              <w:t>:</w:t>
            </w: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Valores y</w:t>
            </w:r>
            <w:r w:rsidRPr="00E70A4C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cultura.</w:t>
            </w:r>
          </w:p>
          <w:p w:rsidR="00D73D32" w:rsidRPr="00115A1D" w:rsidRDefault="00D73D32" w:rsidP="00D36721">
            <w:pPr>
              <w:jc w:val="both"/>
              <w:rPr>
                <w:rFonts w:asciiTheme="minorHAnsi" w:hAnsiTheme="minorHAnsi" w:cstheme="minorHAnsi"/>
                <w:b w:val="0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-</w:t>
            </w:r>
            <w:r>
              <w:rPr>
                <w:rFonts w:asciiTheme="minorHAnsi" w:hAnsiTheme="minorHAnsi" w:cstheme="minorHAnsi"/>
                <w:b w:val="0"/>
                <w:color w:val="000000"/>
                <w:sz w:val="21"/>
                <w:szCs w:val="21"/>
              </w:rPr>
              <w:t>Discriminación, tolerancia, respeto por la diversidad. Prejuicios y estereotipos. Poder y autoridad pedagógicas. Ideología, marginalidad y vulnerabilidad. La alteridad.</w:t>
            </w:r>
          </w:p>
          <w:p w:rsidR="00D73D32" w:rsidRDefault="00D73D32" w:rsidP="00D36721">
            <w:pPr>
              <w:jc w:val="both"/>
              <w:rPr>
                <w:rFonts w:asciiTheme="minorHAnsi" w:hAnsiTheme="minorHAnsi" w:cstheme="minorHAnsi"/>
                <w:b w:val="0"/>
                <w:color w:val="000000"/>
                <w:sz w:val="21"/>
                <w:szCs w:val="21"/>
              </w:rPr>
            </w:pPr>
          </w:p>
          <w:p w:rsidR="00D73D32" w:rsidRPr="0089412E" w:rsidRDefault="00D73D32" w:rsidP="00D36721">
            <w:pPr>
              <w:jc w:val="both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Unidad III: </w:t>
            </w:r>
            <w:r w:rsidRPr="0089412E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La educación y la Cultura.</w:t>
            </w:r>
            <w:r w:rsidRPr="0089412E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73D32" w:rsidRDefault="00D73D32" w:rsidP="00D36721">
            <w:pPr>
              <w:jc w:val="both"/>
              <w:rPr>
                <w:rFonts w:asciiTheme="minorHAnsi" w:hAnsiTheme="minorHAnsi" w:cstheme="minorHAnsi"/>
                <w:b w:val="0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color w:val="000000"/>
                <w:sz w:val="21"/>
                <w:szCs w:val="21"/>
              </w:rPr>
              <w:t>- La educación en contextos socioculturales lingüísticos diversos: Dicotomía, exclusión e inclusión educativas .Educación Intercultural Bilingüe: Fundamentos de la IEB. Sujetos y Enseñanza.</w:t>
            </w:r>
          </w:p>
          <w:p w:rsidR="00D73D32" w:rsidRPr="001C3F03" w:rsidRDefault="00D73D32" w:rsidP="00D36721">
            <w:pPr>
              <w:jc w:val="both"/>
              <w:rPr>
                <w:rFonts w:asciiTheme="minorHAnsi" w:hAnsiTheme="minorHAnsi" w:cstheme="minorHAnsi"/>
                <w:b w:val="0"/>
                <w:color w:val="000000"/>
                <w:sz w:val="21"/>
                <w:szCs w:val="21"/>
              </w:rPr>
            </w:pPr>
          </w:p>
          <w:p w:rsidR="00D73D32" w:rsidRDefault="00D73D32" w:rsidP="00D36721">
            <w:pPr>
              <w:jc w:val="both"/>
              <w:rPr>
                <w:rFonts w:asciiTheme="minorHAnsi" w:hAnsiTheme="minorHAnsi" w:cstheme="minorHAnsi"/>
                <w:b w:val="0"/>
                <w:color w:val="000000"/>
                <w:sz w:val="21"/>
                <w:szCs w:val="21"/>
              </w:rPr>
            </w:pPr>
          </w:p>
          <w:p w:rsidR="00D73D32" w:rsidRDefault="00D73D32" w:rsidP="00D36721">
            <w:pPr>
              <w:jc w:val="both"/>
            </w:pPr>
          </w:p>
        </w:tc>
      </w:tr>
      <w:tr w:rsidR="00D73D32" w:rsidTr="00D36721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0" w:type="dxa"/>
            <w:gridSpan w:val="2"/>
          </w:tcPr>
          <w:p w:rsidR="00D73D32" w:rsidRDefault="00D73D32" w:rsidP="00D36721">
            <w:pPr>
              <w:jc w:val="center"/>
            </w:pPr>
            <w:r>
              <w:lastRenderedPageBreak/>
              <w:t>ESTRATEGIAS METODOLÓGICAS</w:t>
            </w:r>
          </w:p>
          <w:p w:rsidR="00D73D32" w:rsidRDefault="00D73D32" w:rsidP="00D36721">
            <w:pPr>
              <w:jc w:val="both"/>
            </w:pPr>
          </w:p>
          <w:p w:rsidR="00D73D32" w:rsidRPr="00101910" w:rsidRDefault="00D73D32" w:rsidP="00D36721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rPr>
                <w:b w:val="0"/>
              </w:rPr>
              <w:t>Método socrático ( inductivo-deductivo)</w:t>
            </w:r>
          </w:p>
          <w:p w:rsidR="00D73D32" w:rsidRPr="00101910" w:rsidRDefault="00D73D32" w:rsidP="00D36721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rPr>
                <w:b w:val="0"/>
              </w:rPr>
              <w:t>Exposición dialogada.</w:t>
            </w:r>
          </w:p>
          <w:p w:rsidR="00D73D32" w:rsidRPr="00101910" w:rsidRDefault="00D73D32" w:rsidP="00D36721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rPr>
                <w:b w:val="0"/>
              </w:rPr>
              <w:t>Análisis de lecturas.</w:t>
            </w:r>
          </w:p>
          <w:p w:rsidR="00D73D32" w:rsidRPr="00A0618C" w:rsidRDefault="00D73D32" w:rsidP="00D36721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rPr>
                <w:b w:val="0"/>
              </w:rPr>
              <w:t>Consultas bibliográficas guiadas.</w:t>
            </w:r>
          </w:p>
          <w:p w:rsidR="00D73D32" w:rsidRPr="00101910" w:rsidRDefault="00D73D32" w:rsidP="00D36721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rPr>
                <w:b w:val="0"/>
              </w:rPr>
              <w:t>Dramatización.</w:t>
            </w:r>
          </w:p>
          <w:p w:rsidR="00D73D32" w:rsidRPr="00101910" w:rsidRDefault="00D73D32" w:rsidP="00D36721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rPr>
                <w:b w:val="0"/>
              </w:rPr>
              <w:t>Exposiciones grupales e individuales.</w:t>
            </w:r>
          </w:p>
          <w:p w:rsidR="00D73D32" w:rsidRPr="00101910" w:rsidRDefault="00D73D32" w:rsidP="00D36721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rPr>
                <w:b w:val="0"/>
              </w:rPr>
              <w:t>Mapas y redes conceptuales.</w:t>
            </w:r>
          </w:p>
          <w:p w:rsidR="00D73D32" w:rsidRPr="00101910" w:rsidRDefault="00D73D32" w:rsidP="00D36721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rPr>
                <w:b w:val="0"/>
              </w:rPr>
              <w:t>Debate dirigido.</w:t>
            </w:r>
          </w:p>
          <w:p w:rsidR="00D73D32" w:rsidRPr="00101910" w:rsidRDefault="00D73D32" w:rsidP="00D36721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rPr>
                <w:b w:val="0"/>
              </w:rPr>
              <w:t>Narración dialogada.</w:t>
            </w:r>
          </w:p>
          <w:p w:rsidR="00D73D32" w:rsidRPr="00101910" w:rsidRDefault="00D73D32" w:rsidP="00D36721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rPr>
                <w:b w:val="0"/>
              </w:rPr>
              <w:t>Observaciones guiadas, con recolección de datos para una posterior elaboración de informes.</w:t>
            </w:r>
          </w:p>
          <w:p w:rsidR="00D73D32" w:rsidRDefault="00D73D32" w:rsidP="00D36721">
            <w:pPr>
              <w:jc w:val="both"/>
            </w:pPr>
          </w:p>
          <w:p w:rsidR="00D73D32" w:rsidRDefault="00D73D32" w:rsidP="00D36721">
            <w:pPr>
              <w:pStyle w:val="Default"/>
              <w:jc w:val="both"/>
            </w:pPr>
          </w:p>
        </w:tc>
      </w:tr>
      <w:tr w:rsidR="00D73D32" w:rsidTr="00D367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0" w:type="dxa"/>
            <w:gridSpan w:val="2"/>
          </w:tcPr>
          <w:p w:rsidR="00D73D32" w:rsidRDefault="00D73D32" w:rsidP="00D36721">
            <w:pPr>
              <w:jc w:val="center"/>
            </w:pPr>
            <w:r w:rsidRPr="0074679A">
              <w:t>RECURSOS/MATERIALES DIDÁCTICOS</w:t>
            </w:r>
          </w:p>
          <w:p w:rsidR="00D73D32" w:rsidRDefault="00D73D32" w:rsidP="00D36721">
            <w:pPr>
              <w:jc w:val="center"/>
            </w:pPr>
          </w:p>
          <w:p w:rsidR="00D73D32" w:rsidRPr="0062167F" w:rsidRDefault="00D73D32" w:rsidP="00D36721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rPr>
                <w:b w:val="0"/>
              </w:rPr>
              <w:t>Compilación y selección de textos que aborden las temáticas tratadas.</w:t>
            </w:r>
          </w:p>
          <w:p w:rsidR="00D73D32" w:rsidRPr="0062167F" w:rsidRDefault="00D73D32" w:rsidP="00D36721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rPr>
                <w:b w:val="0"/>
              </w:rPr>
              <w:t>Guías de autoaprendizajes.</w:t>
            </w:r>
          </w:p>
          <w:p w:rsidR="00D73D32" w:rsidRPr="0062167F" w:rsidRDefault="00D73D32" w:rsidP="00D36721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rPr>
                <w:b w:val="0"/>
              </w:rPr>
              <w:t>Distintas bibliografías.</w:t>
            </w:r>
          </w:p>
          <w:p w:rsidR="00D73D32" w:rsidRPr="0062167F" w:rsidRDefault="00D73D32" w:rsidP="00D36721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rPr>
                <w:b w:val="0"/>
              </w:rPr>
              <w:t>Computadoras.</w:t>
            </w:r>
          </w:p>
          <w:p w:rsidR="00D73D32" w:rsidRPr="0062167F" w:rsidRDefault="00D73D32" w:rsidP="00D36721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rPr>
                <w:b w:val="0"/>
              </w:rPr>
              <w:t>Cañón.</w:t>
            </w:r>
          </w:p>
          <w:p w:rsidR="00D73D32" w:rsidRPr="0062167F" w:rsidRDefault="00D73D32" w:rsidP="00D36721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rPr>
                <w:b w:val="0"/>
              </w:rPr>
              <w:t>Retroproyector.</w:t>
            </w:r>
          </w:p>
          <w:p w:rsidR="00D73D32" w:rsidRDefault="00D73D32" w:rsidP="00D36721"/>
          <w:p w:rsidR="00D73D32" w:rsidRDefault="00D73D32" w:rsidP="00D36721">
            <w:pPr>
              <w:jc w:val="center"/>
            </w:pPr>
          </w:p>
        </w:tc>
      </w:tr>
      <w:tr w:rsidR="00D73D32" w:rsidTr="00D36721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0" w:type="dxa"/>
            <w:gridSpan w:val="2"/>
          </w:tcPr>
          <w:p w:rsidR="00D73D32" w:rsidRPr="0074679A" w:rsidRDefault="00D73D32" w:rsidP="00D36721">
            <w:pPr>
              <w:jc w:val="both"/>
            </w:pPr>
          </w:p>
          <w:p w:rsidR="00D73D32" w:rsidRPr="00A524A9" w:rsidRDefault="00D73D32" w:rsidP="00D36721">
            <w:pPr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LECTURA/S OBLIGATORIA/</w:t>
            </w:r>
          </w:p>
          <w:p w:rsidR="00D73D32" w:rsidRPr="00972CC5" w:rsidRDefault="00D73D32" w:rsidP="00D36721">
            <w:pPr>
              <w:spacing w:line="480" w:lineRule="auto"/>
              <w:jc w:val="both"/>
              <w:rPr>
                <w:rFonts w:cstheme="minorHAnsi"/>
                <w:b w:val="0"/>
                <w:lang w:val="es-ES"/>
              </w:rPr>
            </w:pPr>
            <w:r w:rsidRPr="00972CC5">
              <w:rPr>
                <w:rFonts w:cstheme="minorHAnsi"/>
                <w:b w:val="0"/>
                <w:lang w:val="es-ES"/>
              </w:rPr>
              <w:t>“Cuentos y Leyendas de los Indios”-Orlando Sánchez.</w:t>
            </w:r>
          </w:p>
          <w:p w:rsidR="00D73D32" w:rsidRPr="0074679A" w:rsidRDefault="00D73D32" w:rsidP="00D36721">
            <w:pPr>
              <w:jc w:val="both"/>
              <w:rPr>
                <w:rFonts w:cstheme="minorHAnsi"/>
                <w:b w:val="0"/>
                <w:lang w:val="es-ES"/>
              </w:rPr>
            </w:pPr>
          </w:p>
          <w:p w:rsidR="00D73D32" w:rsidRPr="0074679A" w:rsidRDefault="00D73D32" w:rsidP="00D36721">
            <w:pPr>
              <w:jc w:val="both"/>
              <w:rPr>
                <w:b w:val="0"/>
              </w:rPr>
            </w:pPr>
          </w:p>
        </w:tc>
      </w:tr>
      <w:tr w:rsidR="00D73D32" w:rsidTr="00D367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0" w:type="dxa"/>
            <w:gridSpan w:val="2"/>
          </w:tcPr>
          <w:p w:rsidR="00D73D32" w:rsidRDefault="00D73D32" w:rsidP="00D36721">
            <w:pPr>
              <w:jc w:val="center"/>
            </w:pPr>
            <w:r>
              <w:lastRenderedPageBreak/>
              <w:t>EVALUACIÓN</w:t>
            </w:r>
          </w:p>
          <w:p w:rsidR="00D73D32" w:rsidRDefault="00D73D32" w:rsidP="00D36721">
            <w:pPr>
              <w:pStyle w:val="Prrafodelista"/>
              <w:jc w:val="both"/>
            </w:pPr>
            <w:r>
              <w:t xml:space="preserve">           </w:t>
            </w:r>
            <w:r w:rsidRPr="00290016">
              <w:t>Criterios</w:t>
            </w:r>
          </w:p>
          <w:p w:rsidR="00D73D32" w:rsidRPr="007F2500" w:rsidRDefault="00D73D32" w:rsidP="00D73D32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rPr>
                <w:b w:val="0"/>
              </w:rPr>
              <w:t>Reflexión crítica de las situaciones planteadas.</w:t>
            </w:r>
          </w:p>
          <w:p w:rsidR="00D73D32" w:rsidRPr="007F2500" w:rsidRDefault="00D73D32" w:rsidP="00D73D32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rPr>
                <w:b w:val="0"/>
              </w:rPr>
              <w:t>Resolución de situaciones problemáticas.</w:t>
            </w:r>
          </w:p>
          <w:p w:rsidR="00D73D32" w:rsidRPr="007F2500" w:rsidRDefault="00D73D32" w:rsidP="00D73D32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rPr>
                <w:b w:val="0"/>
              </w:rPr>
              <w:t>Fundamentación y argumentación de posturas y proposiciones personales y grupales.</w:t>
            </w:r>
          </w:p>
          <w:p w:rsidR="00D73D32" w:rsidRPr="007F2500" w:rsidRDefault="00D73D32" w:rsidP="00D73D32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rPr>
                <w:b w:val="0"/>
              </w:rPr>
              <w:t>Compromiso y responsabilidad con las actividades grupales.</w:t>
            </w:r>
          </w:p>
          <w:p w:rsidR="00D73D32" w:rsidRPr="007F2500" w:rsidRDefault="00D73D32" w:rsidP="00D73D32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rPr>
                <w:b w:val="0"/>
              </w:rPr>
              <w:t>Creatividad e innovación en la presentación de los trabajos propuestos.</w:t>
            </w:r>
          </w:p>
          <w:p w:rsidR="00D73D32" w:rsidRPr="007F2500" w:rsidRDefault="00D73D32" w:rsidP="00D73D32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rPr>
                <w:b w:val="0"/>
              </w:rPr>
              <w:t>Capacidad para transmitir sus propias investigaciones.</w:t>
            </w:r>
          </w:p>
          <w:p w:rsidR="00D73D32" w:rsidRPr="00D74779" w:rsidRDefault="00D73D32" w:rsidP="00D73D32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rPr>
                <w:b w:val="0"/>
              </w:rPr>
              <w:t>Prolijidad, redacción y ortografía correctas en la presentación de los trabajos escritos.</w:t>
            </w:r>
          </w:p>
          <w:p w:rsidR="00D73D32" w:rsidRPr="00D74779" w:rsidRDefault="00D73D32" w:rsidP="00D36721"/>
          <w:p w:rsidR="00D73D32" w:rsidRDefault="00D73D32" w:rsidP="00D36721">
            <w:pPr>
              <w:pStyle w:val="Prrafodelista"/>
              <w:ind w:left="1440"/>
            </w:pPr>
            <w:r>
              <w:t>Instrumentos</w:t>
            </w:r>
          </w:p>
          <w:p w:rsidR="00D73D32" w:rsidRPr="00A0618C" w:rsidRDefault="00D73D32" w:rsidP="00D73D32">
            <w:pPr>
              <w:pStyle w:val="Prrafodelista"/>
              <w:numPr>
                <w:ilvl w:val="0"/>
                <w:numId w:val="4"/>
              </w:numPr>
            </w:pPr>
            <w:r>
              <w:rPr>
                <w:b w:val="0"/>
              </w:rPr>
              <w:t>Rubrica.</w:t>
            </w:r>
          </w:p>
          <w:p w:rsidR="00D73D32" w:rsidRPr="007F2500" w:rsidRDefault="00D73D32" w:rsidP="00D73D32">
            <w:pPr>
              <w:pStyle w:val="Prrafodelista"/>
              <w:numPr>
                <w:ilvl w:val="0"/>
                <w:numId w:val="4"/>
              </w:numPr>
            </w:pPr>
            <w:r>
              <w:rPr>
                <w:b w:val="0"/>
              </w:rPr>
              <w:t>Observación de los trabajos y participación en las clases diarias.</w:t>
            </w:r>
          </w:p>
          <w:p w:rsidR="00D73D32" w:rsidRPr="00D74779" w:rsidRDefault="00D73D32" w:rsidP="00D73D32">
            <w:pPr>
              <w:pStyle w:val="Prrafodelista"/>
              <w:numPr>
                <w:ilvl w:val="0"/>
                <w:numId w:val="4"/>
              </w:numPr>
            </w:pPr>
            <w:r>
              <w:rPr>
                <w:b w:val="0"/>
              </w:rPr>
              <w:t>Producciones escritas en forma individual y grupal.</w:t>
            </w:r>
          </w:p>
          <w:p w:rsidR="00D73D32" w:rsidRPr="007F2500" w:rsidRDefault="00D73D32" w:rsidP="00D73D32">
            <w:pPr>
              <w:pStyle w:val="Prrafodelista"/>
              <w:numPr>
                <w:ilvl w:val="0"/>
                <w:numId w:val="4"/>
              </w:numPr>
            </w:pPr>
            <w:r>
              <w:rPr>
                <w:b w:val="0"/>
              </w:rPr>
              <w:t>Defensa oral de los trabajos prácticos.</w:t>
            </w:r>
          </w:p>
          <w:p w:rsidR="00D73D32" w:rsidRDefault="00D73D32" w:rsidP="00D36721">
            <w:pPr>
              <w:jc w:val="both"/>
            </w:pPr>
          </w:p>
        </w:tc>
      </w:tr>
      <w:tr w:rsidR="00D73D32" w:rsidTr="00D36721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0" w:type="dxa"/>
            <w:gridSpan w:val="2"/>
          </w:tcPr>
          <w:p w:rsidR="00D73D32" w:rsidRDefault="00D73D32" w:rsidP="00D36721"/>
          <w:p w:rsidR="00D73D32" w:rsidRDefault="00D73D32" w:rsidP="00D36721">
            <w:r>
              <w:t xml:space="preserve">                                                                                                                               </w:t>
            </w:r>
          </w:p>
          <w:p w:rsidR="00D73D32" w:rsidRDefault="00D73D32" w:rsidP="00D36721">
            <w:r>
              <w:t xml:space="preserve">                                                                                                                          BIBLIOGRAFÍA</w:t>
            </w:r>
          </w:p>
          <w:p w:rsidR="00D73D32" w:rsidRDefault="00D73D32" w:rsidP="00D36721">
            <w:pPr>
              <w:jc w:val="center"/>
            </w:pPr>
          </w:p>
          <w:p w:rsidR="00D73D32" w:rsidRDefault="00D73D32" w:rsidP="00D36721"/>
          <w:p w:rsidR="00D73D32" w:rsidRDefault="00D73D32" w:rsidP="00D36721">
            <w:pPr>
              <w:jc w:val="center"/>
            </w:pPr>
          </w:p>
          <w:p w:rsidR="00D73D32" w:rsidRDefault="00D73D32" w:rsidP="00D73D32">
            <w:pPr>
              <w:pStyle w:val="Prrafodelista"/>
              <w:numPr>
                <w:ilvl w:val="0"/>
                <w:numId w:val="6"/>
              </w:numPr>
              <w:jc w:val="both"/>
              <w:rPr>
                <w:b w:val="0"/>
              </w:rPr>
            </w:pPr>
            <w:r>
              <w:rPr>
                <w:b w:val="0"/>
              </w:rPr>
              <w:t xml:space="preserve">Aguado </w:t>
            </w:r>
            <w:proofErr w:type="spellStart"/>
            <w:r>
              <w:rPr>
                <w:b w:val="0"/>
              </w:rPr>
              <w:t>Odina</w:t>
            </w:r>
            <w:proofErr w:type="spellEnd"/>
            <w:r>
              <w:rPr>
                <w:b w:val="0"/>
              </w:rPr>
              <w:t xml:space="preserve"> M Teresa .Lecturas de pedagogía diferencial (Coord. .Ma. del Carmen Jiménez Fernández). Madrid, </w:t>
            </w:r>
            <w:proofErr w:type="spellStart"/>
            <w:r>
              <w:rPr>
                <w:b w:val="0"/>
              </w:rPr>
              <w:t>Dyknson</w:t>
            </w:r>
            <w:proofErr w:type="spellEnd"/>
            <w:r>
              <w:rPr>
                <w:b w:val="0"/>
              </w:rPr>
              <w:t>, 1991 pp.89-104.</w:t>
            </w:r>
          </w:p>
          <w:p w:rsidR="00D73D32" w:rsidRDefault="00D73D32" w:rsidP="00D73D32">
            <w:pPr>
              <w:pStyle w:val="Prrafodelista"/>
              <w:numPr>
                <w:ilvl w:val="0"/>
                <w:numId w:val="6"/>
              </w:numPr>
              <w:jc w:val="both"/>
              <w:rPr>
                <w:b w:val="0"/>
              </w:rPr>
            </w:pPr>
            <w:r>
              <w:rPr>
                <w:b w:val="0"/>
              </w:rPr>
              <w:t xml:space="preserve">Bernstein, B. (1990) Poder, Educación y Conciencia. Sociología de la transmisión cultural .Barcelona, El </w:t>
            </w:r>
            <w:proofErr w:type="spellStart"/>
            <w:r>
              <w:rPr>
                <w:b w:val="0"/>
              </w:rPr>
              <w:t>Roure</w:t>
            </w:r>
            <w:proofErr w:type="spellEnd"/>
            <w:r>
              <w:rPr>
                <w:b w:val="0"/>
              </w:rPr>
              <w:t>.</w:t>
            </w:r>
          </w:p>
          <w:p w:rsidR="00D73D32" w:rsidRDefault="00D73D32" w:rsidP="00D73D32">
            <w:pPr>
              <w:pStyle w:val="Prrafodelista"/>
              <w:numPr>
                <w:ilvl w:val="0"/>
                <w:numId w:val="6"/>
              </w:numPr>
              <w:jc w:val="both"/>
              <w:rPr>
                <w:b w:val="0"/>
              </w:rPr>
            </w:pPr>
            <w:r>
              <w:rPr>
                <w:b w:val="0"/>
              </w:rPr>
              <w:t>Freire, P. (1994) Educación y Participación Comunitaria. En Castell et al. (1994).</w:t>
            </w:r>
          </w:p>
          <w:p w:rsidR="00D73D32" w:rsidRDefault="00D73D32" w:rsidP="00D73D32">
            <w:pPr>
              <w:pStyle w:val="Prrafodelista"/>
              <w:numPr>
                <w:ilvl w:val="0"/>
                <w:numId w:val="6"/>
              </w:numPr>
              <w:jc w:val="both"/>
              <w:rPr>
                <w:b w:val="0"/>
              </w:rPr>
            </w:pPr>
            <w:r>
              <w:rPr>
                <w:b w:val="0"/>
              </w:rPr>
              <w:t>Declaración Universal de Derechos Humanos (1948).</w:t>
            </w:r>
          </w:p>
          <w:p w:rsidR="00D73D32" w:rsidRDefault="00D73D32" w:rsidP="00D73D32">
            <w:pPr>
              <w:pStyle w:val="Prrafodelista"/>
              <w:numPr>
                <w:ilvl w:val="0"/>
                <w:numId w:val="6"/>
              </w:numPr>
              <w:jc w:val="both"/>
              <w:rPr>
                <w:b w:val="0"/>
              </w:rPr>
            </w:pPr>
            <w:r>
              <w:rPr>
                <w:b w:val="0"/>
              </w:rPr>
              <w:t>Convenio sobre pueblos indígenas y tribales en los países independientes (Convenio N° 169 DE LA OIT, 1989).</w:t>
            </w:r>
          </w:p>
          <w:p w:rsidR="00D73D32" w:rsidRDefault="00D73D32" w:rsidP="00D73D32">
            <w:pPr>
              <w:pStyle w:val="Prrafodelista"/>
              <w:numPr>
                <w:ilvl w:val="0"/>
                <w:numId w:val="6"/>
              </w:numPr>
              <w:jc w:val="both"/>
              <w:rPr>
                <w:b w:val="0"/>
              </w:rPr>
            </w:pPr>
            <w:r>
              <w:rPr>
                <w:b w:val="0"/>
              </w:rPr>
              <w:t>Pacto Internacional de Derechos Económicos, Sociales y Culturales (1966).Art.13.</w:t>
            </w:r>
          </w:p>
          <w:p w:rsidR="00D73D32" w:rsidRPr="00C74387" w:rsidRDefault="00D73D32" w:rsidP="00D73D32">
            <w:pPr>
              <w:pStyle w:val="Prrafodelista"/>
              <w:numPr>
                <w:ilvl w:val="0"/>
                <w:numId w:val="6"/>
              </w:numPr>
              <w:jc w:val="both"/>
              <w:rPr>
                <w:b w:val="0"/>
              </w:rPr>
            </w:pPr>
            <w:r>
              <w:rPr>
                <w:b w:val="0"/>
              </w:rPr>
              <w:t>Preámbulo de la Convención sobre la Protección y Promoción de la Diversidad de las Expresiones Culturales. (UNESCO, 2005).</w:t>
            </w:r>
          </w:p>
          <w:p w:rsidR="00D73D32" w:rsidRDefault="00D73D32" w:rsidP="00D36721"/>
          <w:p w:rsidR="00D73D32" w:rsidRDefault="00D73D32" w:rsidP="00D36721"/>
        </w:tc>
      </w:tr>
    </w:tbl>
    <w:p w:rsidR="00D73D32" w:rsidRDefault="00D73D32" w:rsidP="00D73D32"/>
    <w:p w:rsidR="00D73D32" w:rsidRDefault="00D73D32" w:rsidP="00D73D32"/>
    <w:p w:rsidR="00D73D32" w:rsidRDefault="00D73D32" w:rsidP="00D73D32"/>
    <w:p w:rsidR="00D73D32" w:rsidRDefault="00D73D32" w:rsidP="00510469"/>
    <w:p w:rsidR="00D73D32" w:rsidRDefault="00D73D32" w:rsidP="00D73D32"/>
    <w:p w:rsidR="00AB326F" w:rsidRDefault="00AB326F"/>
    <w:sectPr w:rsidR="00AB326F" w:rsidSect="00D73D32">
      <w:headerReference w:type="default" r:id="rId8"/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D32" w:rsidRDefault="00D73D32">
      <w:r>
        <w:separator/>
      </w:r>
    </w:p>
  </w:endnote>
  <w:endnote w:type="continuationSeparator" w:id="0">
    <w:p w:rsidR="00D73D32" w:rsidRDefault="00D73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D32" w:rsidRDefault="00D73D32">
      <w:r>
        <w:separator/>
      </w:r>
    </w:p>
  </w:footnote>
  <w:footnote w:type="continuationSeparator" w:id="0">
    <w:p w:rsidR="00D73D32" w:rsidRDefault="00D73D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469" w:rsidRDefault="00510469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 wp14:anchorId="4030BA1D" wp14:editId="2860AE59">
          <wp:simplePos x="0" y="0"/>
          <wp:positionH relativeFrom="column">
            <wp:posOffset>3597214</wp:posOffset>
          </wp:positionH>
          <wp:positionV relativeFrom="paragraph">
            <wp:posOffset>-263794</wp:posOffset>
          </wp:positionV>
          <wp:extent cx="4818859" cy="586541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6016" cy="60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B326F" w:rsidRDefault="00AB326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975A9"/>
    <w:multiLevelType w:val="hybridMultilevel"/>
    <w:tmpl w:val="71BC9AB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115DE"/>
    <w:multiLevelType w:val="hybridMultilevel"/>
    <w:tmpl w:val="41B05D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A4D24"/>
    <w:multiLevelType w:val="hybridMultilevel"/>
    <w:tmpl w:val="4142F1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0612C"/>
    <w:multiLevelType w:val="hybridMultilevel"/>
    <w:tmpl w:val="1BB681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35567"/>
    <w:multiLevelType w:val="hybridMultilevel"/>
    <w:tmpl w:val="564C3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F2E5A"/>
    <w:multiLevelType w:val="hybridMultilevel"/>
    <w:tmpl w:val="244A7B7C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3D32"/>
    <w:rsid w:val="00080160"/>
    <w:rsid w:val="002C35BF"/>
    <w:rsid w:val="00510469"/>
    <w:rsid w:val="00713587"/>
    <w:rsid w:val="00AB326F"/>
    <w:rsid w:val="00D7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D32"/>
    <w:rPr>
      <w:rFonts w:ascii="Arial" w:hAnsi="Arial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paragraph" w:customStyle="1" w:styleId="Default">
    <w:name w:val="Default"/>
    <w:rsid w:val="00D73D3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s-AR" w:eastAsia="en-US"/>
    </w:rPr>
  </w:style>
  <w:style w:type="table" w:styleId="Cuadrculamedia1-nfasis2">
    <w:name w:val="Medium Grid 1 Accent 2"/>
    <w:basedOn w:val="Tablanormal"/>
    <w:uiPriority w:val="67"/>
    <w:rsid w:val="00D73D32"/>
    <w:rPr>
      <w:rFonts w:asciiTheme="minorHAnsi" w:eastAsiaTheme="minorHAnsi" w:hAnsiTheme="minorHAnsi" w:cstheme="minorBidi"/>
      <w:sz w:val="22"/>
      <w:szCs w:val="22"/>
      <w:lang w:val="es-AR" w:eastAsia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D73D32"/>
    <w:pPr>
      <w:spacing w:before="100" w:beforeAutospacing="1" w:after="100" w:afterAutospacing="1"/>
    </w:pPr>
    <w:rPr>
      <w:rFonts w:ascii="Times New Roman" w:hAnsi="Times New Roman"/>
      <w:szCs w:val="24"/>
      <w:lang w:val="es-AR" w:eastAsia="es-AR"/>
    </w:rPr>
  </w:style>
  <w:style w:type="paragraph" w:styleId="Prrafodelista">
    <w:name w:val="List Paragraph"/>
    <w:basedOn w:val="Normal"/>
    <w:uiPriority w:val="34"/>
    <w:qFormat/>
    <w:rsid w:val="00D73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3082\Office%20Word%202003%20Look.dotx" TargetMode="External"/></Relationship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027D8-38F9-4C9F-B193-55E11B337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4</Pages>
  <Words>1129</Words>
  <Characters>7738</Characters>
  <Application>Microsoft Office Word</Application>
  <DocSecurity>0</DocSecurity>
  <Lines>64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2018-11-30T00:52:00Z</dcterms:created>
  <dcterms:modified xsi:type="dcterms:W3CDTF">2019-11-21T14:05:00Z</dcterms:modified>
</cp:coreProperties>
</file>