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D7B00" w14:textId="77777777" w:rsidR="00FE1DC1" w:rsidRPr="006A09A8" w:rsidRDefault="00FE1DC1" w:rsidP="00FE1DC1">
      <w:pPr>
        <w:pStyle w:val="Encabezado"/>
        <w:jc w:val="center"/>
        <w:rPr>
          <w:b/>
          <w:bCs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E6820F7" wp14:editId="064304F6">
            <wp:simplePos x="0" y="0"/>
            <wp:positionH relativeFrom="column">
              <wp:posOffset>-647590</wp:posOffset>
            </wp:positionH>
            <wp:positionV relativeFrom="paragraph">
              <wp:posOffset>-572991</wp:posOffset>
            </wp:positionV>
            <wp:extent cx="1153160" cy="923925"/>
            <wp:effectExtent l="19050" t="0" r="8890" b="0"/>
            <wp:wrapNone/>
            <wp:docPr id="1" name="1 Imagen" descr="Logo_-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_-_4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09A8">
        <w:rPr>
          <w:b/>
          <w:bCs/>
        </w:rPr>
        <w:t>MINISTERIO DE EDUCACIÓN, CULTURA, CIENCIA Y TECNOLOGÍA</w:t>
      </w:r>
    </w:p>
    <w:p w14:paraId="24B49295" w14:textId="77777777" w:rsidR="00FE1DC1" w:rsidRPr="00936862" w:rsidRDefault="00FE1DC1" w:rsidP="00FE1DC1">
      <w:pPr>
        <w:jc w:val="center"/>
        <w:rPr>
          <w:rFonts w:ascii="Baskerville Old Face" w:hAnsi="Baskerville Old Face" w:cs="Baskerville Old Face"/>
        </w:rPr>
      </w:pPr>
      <w:r w:rsidRPr="00936862">
        <w:rPr>
          <w:rFonts w:ascii="Baskerville Old Face" w:hAnsi="Baskerville Old Face" w:cs="Baskerville Old Face"/>
        </w:rPr>
        <w:t>Instituto de Nivel Superior “Juan Mantovani”</w:t>
      </w:r>
    </w:p>
    <w:p w14:paraId="277FB850" w14:textId="45DFCCC7" w:rsidR="00B43CB8" w:rsidRDefault="00B43CB8"/>
    <w:p w14:paraId="35BFD04D" w14:textId="1AA6E3EE" w:rsidR="00FE1DC1" w:rsidRDefault="00FE1DC1"/>
    <w:p w14:paraId="0C2391C9" w14:textId="691E30CD" w:rsidR="00FE1DC1" w:rsidRPr="00FE1DC1" w:rsidRDefault="00FE1DC1" w:rsidP="00FE1D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PROGRAMA</w:t>
      </w:r>
    </w:p>
    <w:p w14:paraId="4B9C772E" w14:textId="77777777" w:rsidR="00FE1DC1" w:rsidRDefault="00FE1DC1" w:rsidP="00FE1DC1">
      <w:pPr>
        <w:jc w:val="center"/>
        <w:rPr>
          <w:b/>
          <w:sz w:val="28"/>
        </w:rPr>
      </w:pPr>
    </w:p>
    <w:p w14:paraId="4C94EB2A" w14:textId="4E5086F5" w:rsidR="00FE1DC1" w:rsidRPr="007A351E" w:rsidRDefault="00FE1DC1" w:rsidP="00FE1DC1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Carrera:</w:t>
      </w:r>
      <w:r>
        <w:rPr>
          <w:b/>
          <w:szCs w:val="24"/>
          <w:u w:val="single"/>
        </w:rPr>
        <w:t xml:space="preserve"> </w:t>
      </w:r>
      <w:r>
        <w:rPr>
          <w:szCs w:val="24"/>
        </w:rPr>
        <w:t xml:space="preserve">Profesorado </w:t>
      </w:r>
      <w:r>
        <w:rPr>
          <w:szCs w:val="24"/>
        </w:rPr>
        <w:t>de</w:t>
      </w:r>
      <w:r>
        <w:rPr>
          <w:szCs w:val="24"/>
        </w:rPr>
        <w:t xml:space="preserve"> </w:t>
      </w:r>
      <w:r>
        <w:rPr>
          <w:szCs w:val="24"/>
        </w:rPr>
        <w:t>E</w:t>
      </w:r>
      <w:r>
        <w:rPr>
          <w:szCs w:val="24"/>
        </w:rPr>
        <w:t xml:space="preserve">ducación </w:t>
      </w:r>
      <w:r>
        <w:rPr>
          <w:szCs w:val="24"/>
        </w:rPr>
        <w:t>P</w:t>
      </w:r>
      <w:r>
        <w:rPr>
          <w:szCs w:val="24"/>
        </w:rPr>
        <w:t>rimaria</w:t>
      </w:r>
    </w:p>
    <w:p w14:paraId="080E80BB" w14:textId="69FD8B3E" w:rsidR="00FE1DC1" w:rsidRPr="007A351E" w:rsidRDefault="00FE1DC1" w:rsidP="00FE1DC1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Año:</w:t>
      </w:r>
      <w:r>
        <w:rPr>
          <w:b/>
          <w:szCs w:val="24"/>
        </w:rPr>
        <w:t xml:space="preserve"> 201</w:t>
      </w:r>
      <w:r>
        <w:rPr>
          <w:b/>
          <w:szCs w:val="24"/>
        </w:rPr>
        <w:t>9</w:t>
      </w:r>
    </w:p>
    <w:p w14:paraId="2F6D2A93" w14:textId="77777777" w:rsidR="00FE1DC1" w:rsidRPr="007A351E" w:rsidRDefault="00FE1DC1" w:rsidP="00FE1DC1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Curso:</w:t>
      </w:r>
      <w:r w:rsidRPr="007A351E">
        <w:rPr>
          <w:b/>
          <w:szCs w:val="24"/>
        </w:rPr>
        <w:t xml:space="preserve"> </w:t>
      </w:r>
      <w:r>
        <w:rPr>
          <w:b/>
          <w:szCs w:val="24"/>
        </w:rPr>
        <w:t>2do año 3° división</w:t>
      </w:r>
    </w:p>
    <w:p w14:paraId="0A071C6D" w14:textId="77777777" w:rsidR="00FE1DC1" w:rsidRPr="007A351E" w:rsidRDefault="00FE1DC1" w:rsidP="00FE1DC1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ind w:left="360"/>
        <w:rPr>
          <w:b/>
          <w:szCs w:val="24"/>
        </w:rPr>
      </w:pPr>
      <w:r>
        <w:rPr>
          <w:b/>
          <w:szCs w:val="24"/>
          <w:u w:val="single"/>
        </w:rPr>
        <w:t>Unidad Curricular:</w:t>
      </w:r>
      <w:r w:rsidRPr="007A351E">
        <w:rPr>
          <w:b/>
          <w:szCs w:val="24"/>
        </w:rPr>
        <w:t xml:space="preserve"> </w:t>
      </w:r>
      <w:r>
        <w:rPr>
          <w:b/>
          <w:szCs w:val="24"/>
        </w:rPr>
        <w:t>Matemática y su Didáctica</w:t>
      </w:r>
    </w:p>
    <w:p w14:paraId="4DDA3EF7" w14:textId="77777777" w:rsidR="00FE1DC1" w:rsidRPr="006C75E3" w:rsidRDefault="00FE1DC1" w:rsidP="00FE1DC1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ind w:left="360"/>
        <w:rPr>
          <w:szCs w:val="24"/>
        </w:rPr>
      </w:pPr>
      <w:r w:rsidRPr="007A351E">
        <w:rPr>
          <w:b/>
          <w:szCs w:val="24"/>
          <w:u w:val="single"/>
        </w:rPr>
        <w:t>Cantidad de Horas Cátedras semanales:</w:t>
      </w:r>
      <w:r>
        <w:rPr>
          <w:b/>
          <w:szCs w:val="24"/>
          <w:u w:val="single"/>
        </w:rPr>
        <w:t xml:space="preserve"> </w:t>
      </w:r>
      <w:r w:rsidRPr="00BF5E58">
        <w:rPr>
          <w:szCs w:val="24"/>
        </w:rPr>
        <w:t>04</w:t>
      </w:r>
      <w:r>
        <w:rPr>
          <w:szCs w:val="24"/>
        </w:rPr>
        <w:t xml:space="preserve"> Anual</w:t>
      </w:r>
    </w:p>
    <w:p w14:paraId="48AE5A81" w14:textId="77777777" w:rsidR="00FE1DC1" w:rsidRDefault="00FE1DC1" w:rsidP="00FE1DC1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Profesor</w:t>
      </w:r>
      <w:r>
        <w:rPr>
          <w:b/>
          <w:szCs w:val="24"/>
          <w:u w:val="single"/>
        </w:rPr>
        <w:t>/a</w:t>
      </w:r>
      <w:r w:rsidRPr="007A351E">
        <w:rPr>
          <w:b/>
          <w:szCs w:val="24"/>
          <w:u w:val="single"/>
        </w:rPr>
        <w:t>:</w:t>
      </w:r>
      <w:r w:rsidRPr="007A351E">
        <w:rPr>
          <w:b/>
          <w:szCs w:val="24"/>
        </w:rPr>
        <w:t xml:space="preserve"> </w:t>
      </w:r>
      <w:r>
        <w:rPr>
          <w:b/>
          <w:szCs w:val="24"/>
        </w:rPr>
        <w:t xml:space="preserve"> Norma Beatriz Brollo</w:t>
      </w:r>
    </w:p>
    <w:p w14:paraId="0F82DFA8" w14:textId="02564EF5" w:rsidR="00FE1DC1" w:rsidRDefault="00FE1DC1"/>
    <w:p w14:paraId="441FBA56" w14:textId="578DDDAC" w:rsidR="00FE1DC1" w:rsidRDefault="00FE1DC1"/>
    <w:p w14:paraId="125C3AD3" w14:textId="77777777" w:rsidR="00FE1DC1" w:rsidRPr="00FE1DC1" w:rsidRDefault="00FE1DC1" w:rsidP="00FE1DC1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b/>
          <w:bCs/>
          <w:sz w:val="28"/>
          <w:szCs w:val="28"/>
        </w:rPr>
      </w:pPr>
      <w:r w:rsidRPr="00FE1DC1">
        <w:rPr>
          <w:rFonts w:asciiTheme="minorHAnsi" w:hAnsiTheme="minorHAnsi" w:cstheme="minorHAnsi"/>
          <w:b/>
          <w:bCs/>
          <w:sz w:val="28"/>
          <w:szCs w:val="28"/>
        </w:rPr>
        <w:t xml:space="preserve">OBJETIVOS GENERALES </w:t>
      </w:r>
    </w:p>
    <w:p w14:paraId="77497642" w14:textId="77777777" w:rsidR="00FE1DC1" w:rsidRDefault="00FE1DC1" w:rsidP="00FE1DC1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sz w:val="28"/>
          <w:szCs w:val="28"/>
        </w:rPr>
      </w:pPr>
    </w:p>
    <w:p w14:paraId="584AB85D" w14:textId="77777777" w:rsidR="00FE1DC1" w:rsidRPr="00261D55" w:rsidRDefault="00FE1DC1" w:rsidP="00FE1DC1">
      <w:pPr>
        <w:pStyle w:val="Prrafodelista"/>
        <w:numPr>
          <w:ilvl w:val="0"/>
          <w:numId w:val="1"/>
        </w:numPr>
        <w:spacing w:after="16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sz w:val="24"/>
          <w:szCs w:val="24"/>
        </w:rPr>
      </w:pPr>
      <w:r w:rsidRPr="00261D55">
        <w:rPr>
          <w:rFonts w:ascii="Cambria" w:hAnsi="Cambria" w:cs="Arial"/>
          <w:sz w:val="24"/>
          <w:szCs w:val="24"/>
        </w:rPr>
        <w:t>Analizar las particularidades del objeto de estudio de la Didáctica de la Matemática y los principios que fundamentan la enseñanza y el aprendizaje de los conceptos, operaciones y procedimientos matemáticos en la Escuela Primaria.</w:t>
      </w:r>
    </w:p>
    <w:p w14:paraId="458FA153" w14:textId="77777777" w:rsidR="00FE1DC1" w:rsidRPr="00261D55" w:rsidRDefault="00FE1DC1" w:rsidP="00FE1DC1">
      <w:pPr>
        <w:pStyle w:val="Prrafodelista"/>
        <w:numPr>
          <w:ilvl w:val="0"/>
          <w:numId w:val="1"/>
        </w:numPr>
        <w:spacing w:after="16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sz w:val="24"/>
          <w:szCs w:val="24"/>
        </w:rPr>
      </w:pPr>
      <w:r w:rsidRPr="00261D55">
        <w:rPr>
          <w:rFonts w:ascii="Cambria" w:hAnsi="Cambria" w:cs="Arial"/>
          <w:sz w:val="24"/>
          <w:szCs w:val="24"/>
        </w:rPr>
        <w:t xml:space="preserve"> Resignificar los conocimientos matemáticos previos a partir de la resolución de problemas.</w:t>
      </w:r>
    </w:p>
    <w:p w14:paraId="322CC951" w14:textId="7B33EBEF" w:rsidR="00FE1DC1" w:rsidRPr="00FE1DC1" w:rsidRDefault="00FE1DC1" w:rsidP="00FE1DC1">
      <w:pPr>
        <w:pStyle w:val="Prrafodelista"/>
        <w:numPr>
          <w:ilvl w:val="0"/>
          <w:numId w:val="1"/>
        </w:numPr>
        <w:spacing w:after="16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sz w:val="24"/>
          <w:szCs w:val="24"/>
        </w:rPr>
      </w:pPr>
      <w:r w:rsidRPr="00261D55">
        <w:rPr>
          <w:rFonts w:ascii="Cambria" w:hAnsi="Cambria" w:cs="Arial"/>
          <w:sz w:val="24"/>
          <w:szCs w:val="24"/>
        </w:rPr>
        <w:t xml:space="preserve"> Fundamentar la importancia de la enseñanza de los contenidos matemáticos desde la resolución de distintos tipos de problemas y desde las capacidades que se deben enseñar a los estudiantes con necesidades educativas especiales a los fines de favorecer la construcción del conocimiento matemático</w:t>
      </w:r>
    </w:p>
    <w:p w14:paraId="69EBCA34" w14:textId="77777777" w:rsidR="00FE1DC1" w:rsidRPr="00261D55" w:rsidRDefault="00FE1DC1" w:rsidP="00FE1DC1">
      <w:pPr>
        <w:pStyle w:val="Prrafodelista"/>
        <w:numPr>
          <w:ilvl w:val="0"/>
          <w:numId w:val="1"/>
        </w:numPr>
        <w:spacing w:after="16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sz w:val="24"/>
          <w:szCs w:val="24"/>
        </w:rPr>
      </w:pPr>
      <w:r w:rsidRPr="00261D55">
        <w:rPr>
          <w:rFonts w:ascii="Cambria" w:hAnsi="Cambria" w:cs="Arial"/>
          <w:sz w:val="24"/>
          <w:szCs w:val="24"/>
        </w:rPr>
        <w:t xml:space="preserve">Valorar la importancia que tiene el juego didáctico y la resolución de situaciones problemáticas en la construcción de las competencias matemáticas básicas </w:t>
      </w:r>
    </w:p>
    <w:p w14:paraId="15B928E6" w14:textId="77777777" w:rsidR="00FE1DC1" w:rsidRPr="00261D55" w:rsidRDefault="00FE1DC1" w:rsidP="00FE1DC1">
      <w:pPr>
        <w:pStyle w:val="Prrafodelista"/>
        <w:numPr>
          <w:ilvl w:val="0"/>
          <w:numId w:val="1"/>
        </w:numPr>
        <w:spacing w:after="16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sz w:val="24"/>
          <w:szCs w:val="24"/>
        </w:rPr>
      </w:pPr>
      <w:r w:rsidRPr="00261D55">
        <w:rPr>
          <w:rFonts w:ascii="Cambria" w:hAnsi="Cambria" w:cs="Arial"/>
          <w:sz w:val="24"/>
          <w:szCs w:val="24"/>
        </w:rPr>
        <w:t xml:space="preserve">Analizar críticamente la enseñanza de la matemática en las instituciones educativas desde los aportes de las investigaciones realizadas en el ámbito de la Didáctica de la Matemática </w:t>
      </w:r>
    </w:p>
    <w:p w14:paraId="7B62CAA1" w14:textId="77777777" w:rsidR="00FE1DC1" w:rsidRPr="00261D55" w:rsidRDefault="00FE1DC1" w:rsidP="00FE1DC1">
      <w:pPr>
        <w:pStyle w:val="Prrafodelista"/>
        <w:numPr>
          <w:ilvl w:val="0"/>
          <w:numId w:val="1"/>
        </w:numPr>
        <w:spacing w:after="16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sz w:val="24"/>
          <w:szCs w:val="24"/>
        </w:rPr>
      </w:pPr>
      <w:r w:rsidRPr="00261D55">
        <w:rPr>
          <w:rFonts w:ascii="Cambria" w:hAnsi="Cambria" w:cs="Arial"/>
          <w:sz w:val="24"/>
          <w:szCs w:val="24"/>
        </w:rPr>
        <w:t xml:space="preserve"> Fundamentar con criterios objetivos y científicos propuestas de enseñanza.</w:t>
      </w:r>
    </w:p>
    <w:p w14:paraId="180482D8" w14:textId="77777777" w:rsidR="00FE1DC1" w:rsidRPr="00261D55" w:rsidRDefault="00FE1DC1" w:rsidP="00FE1DC1">
      <w:pPr>
        <w:pStyle w:val="Prrafodelista"/>
        <w:numPr>
          <w:ilvl w:val="0"/>
          <w:numId w:val="1"/>
        </w:numPr>
        <w:spacing w:after="16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sz w:val="24"/>
          <w:szCs w:val="24"/>
        </w:rPr>
      </w:pPr>
      <w:r w:rsidRPr="00261D55">
        <w:rPr>
          <w:rFonts w:ascii="Cambria" w:hAnsi="Cambria" w:cs="Arial"/>
          <w:sz w:val="24"/>
          <w:szCs w:val="24"/>
        </w:rPr>
        <w:t>Reflexionar acerca de los conceptos y estrategias intelectuales que posibilitan la elaboración de planes de unidad didáctica para la enseñanza de un contenido matemático</w:t>
      </w:r>
    </w:p>
    <w:p w14:paraId="001C51CB" w14:textId="77777777" w:rsidR="00FE1DC1" w:rsidRDefault="00FE1DC1" w:rsidP="00FE1DC1">
      <w:pPr>
        <w:pStyle w:val="Prrafodelista"/>
        <w:numPr>
          <w:ilvl w:val="0"/>
          <w:numId w:val="1"/>
        </w:numPr>
        <w:spacing w:after="16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sz w:val="24"/>
          <w:szCs w:val="24"/>
        </w:rPr>
      </w:pPr>
      <w:r w:rsidRPr="00261D55">
        <w:rPr>
          <w:rFonts w:ascii="Cambria" w:hAnsi="Cambria" w:cs="Arial"/>
          <w:sz w:val="24"/>
          <w:szCs w:val="24"/>
        </w:rPr>
        <w:t>Adoptar una actitud reflexiva sobre la función que cumple la enseñanza de la matemática en la Escuela Primaria.</w:t>
      </w:r>
    </w:p>
    <w:p w14:paraId="11EF22EB" w14:textId="77777777" w:rsidR="00FE1DC1" w:rsidRPr="00261D55" w:rsidRDefault="00FE1DC1" w:rsidP="00FE1DC1">
      <w:pPr>
        <w:pStyle w:val="Prrafodelista"/>
        <w:spacing w:after="160"/>
        <w:ind w:left="772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sz w:val="24"/>
          <w:szCs w:val="24"/>
        </w:rPr>
      </w:pPr>
    </w:p>
    <w:p w14:paraId="1C130FCE" w14:textId="77777777" w:rsidR="00FE1DC1" w:rsidRDefault="00FE1DC1" w:rsidP="00FE1DC1">
      <w:pPr>
        <w:pStyle w:val="Sangradetextonormal"/>
        <w:ind w:firstLine="0"/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ajorHAnsi" w:hAnsiTheme="majorHAnsi" w:cs="Arial"/>
          <w:i/>
          <w:iCs/>
          <w:szCs w:val="24"/>
          <w:u w:val="single"/>
        </w:rPr>
      </w:pPr>
    </w:p>
    <w:p w14:paraId="73F8CA96" w14:textId="04ED3B92" w:rsidR="00FE1DC1" w:rsidRPr="00FE1DC1" w:rsidRDefault="00FE1DC1" w:rsidP="00FE1DC1">
      <w:pPr>
        <w:pStyle w:val="Sangradetextonormal"/>
        <w:ind w:firstLine="0"/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ajorHAnsi" w:hAnsiTheme="majorHAnsi" w:cs="Arial"/>
          <w:bCs/>
          <w:i/>
          <w:iCs/>
          <w:sz w:val="28"/>
          <w:szCs w:val="28"/>
          <w:u w:val="single"/>
        </w:rPr>
      </w:pPr>
      <w:r w:rsidRPr="00FE1DC1">
        <w:rPr>
          <w:rFonts w:asciiTheme="majorHAnsi" w:hAnsiTheme="majorHAnsi" w:cs="Arial"/>
          <w:i/>
          <w:iCs/>
          <w:sz w:val="28"/>
          <w:szCs w:val="28"/>
          <w:u w:val="single"/>
        </w:rPr>
        <w:t>CONTENIDOS DISCIPLINARES</w:t>
      </w:r>
    </w:p>
    <w:p w14:paraId="2A80E3AA" w14:textId="77777777" w:rsidR="00FE1DC1" w:rsidRDefault="00FE1DC1" w:rsidP="00FE1DC1">
      <w:pPr>
        <w:pStyle w:val="Sangradetextonormal"/>
        <w:ind w:firstLine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="Arial"/>
          <w:bCs/>
          <w:i/>
          <w:iCs/>
          <w:szCs w:val="24"/>
          <w:u w:val="single"/>
        </w:rPr>
      </w:pPr>
    </w:p>
    <w:p w14:paraId="2DAABE4F" w14:textId="77777777" w:rsidR="00FE1DC1" w:rsidRPr="00FE1DC1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bCs/>
          <w:szCs w:val="24"/>
        </w:rPr>
      </w:pPr>
      <w:r w:rsidRPr="00FE1DC1">
        <w:rPr>
          <w:rFonts w:ascii="Cambria" w:hAnsi="Cambria" w:cs="Arial"/>
          <w:b/>
          <w:bCs/>
          <w:szCs w:val="24"/>
        </w:rPr>
        <w:t>Unidad N° 1: Aproximaciones Teóricas</w:t>
      </w:r>
    </w:p>
    <w:p w14:paraId="0A53B678" w14:textId="77777777" w:rsidR="00FE1DC1" w:rsidRPr="00261D55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</w:p>
    <w:p w14:paraId="1046125C" w14:textId="77777777" w:rsidR="00FE1DC1" w:rsidRPr="002B5F68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  <w:r w:rsidRPr="002B5F68">
        <w:rPr>
          <w:rFonts w:ascii="Cambria" w:hAnsi="Cambria" w:cs="Arial"/>
          <w:szCs w:val="24"/>
        </w:rPr>
        <w:t xml:space="preserve"> Reconocimiento de la Didáctica de la Matemática como disciplina científica. Aportes de la Teoría de las Situaciones Didácticas de Guy Brousseau. Las situaciones didácticas como objeto de </w:t>
      </w:r>
      <w:r w:rsidRPr="002B5F68">
        <w:rPr>
          <w:rFonts w:ascii="Cambria" w:hAnsi="Cambria" w:cs="Arial"/>
          <w:szCs w:val="24"/>
        </w:rPr>
        <w:lastRenderedPageBreak/>
        <w:t>estudio de la Didáctica. Sus particularidades en relación a las situaciones a-didácticas.  Tipos de situaciones didácticas: situaciones de acción, de formulación y de validación. Enfoque del área de matemática. El problema y las m</w:t>
      </w:r>
      <w:r>
        <w:rPr>
          <w:rFonts w:ascii="Cambria" w:hAnsi="Cambria" w:cs="Arial"/>
          <w:szCs w:val="24"/>
        </w:rPr>
        <w:t xml:space="preserve">atemáticas. Modelos didácticos </w:t>
      </w:r>
      <w:r w:rsidRPr="002B5F68">
        <w:rPr>
          <w:rFonts w:ascii="Cambria" w:hAnsi="Cambria" w:cs="Arial"/>
          <w:szCs w:val="24"/>
        </w:rPr>
        <w:t xml:space="preserve">Apropiativo. </w:t>
      </w:r>
      <w:r>
        <w:rPr>
          <w:rFonts w:ascii="Cambria" w:hAnsi="Cambria" w:cs="Arial"/>
          <w:szCs w:val="24"/>
        </w:rPr>
        <w:t>Rol del docente y del alumno. La importancia de los trabajos grupales. Las</w:t>
      </w:r>
      <w:r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Fases de Polya.</w:t>
      </w:r>
    </w:p>
    <w:p w14:paraId="6B3AFB22" w14:textId="77777777" w:rsidR="00FE1DC1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</w:p>
    <w:p w14:paraId="50C12B88" w14:textId="77777777" w:rsidR="00FE1DC1" w:rsidRPr="00FE1DC1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bCs/>
          <w:szCs w:val="24"/>
        </w:rPr>
      </w:pPr>
      <w:r w:rsidRPr="00FE1DC1">
        <w:rPr>
          <w:rFonts w:ascii="Cambria" w:hAnsi="Cambria" w:cs="Arial"/>
          <w:b/>
          <w:bCs/>
          <w:szCs w:val="24"/>
        </w:rPr>
        <w:t xml:space="preserve">Unidad N° 2: Enseñanza de la Matemática y Currículo. </w:t>
      </w:r>
    </w:p>
    <w:p w14:paraId="1DAFD4B4" w14:textId="77777777" w:rsidR="00FE1DC1" w:rsidRPr="00261D55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</w:p>
    <w:p w14:paraId="7D7FBE20" w14:textId="77777777" w:rsidR="00FE1DC1" w:rsidRPr="002B5F68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  <w:r w:rsidRPr="002B5F68">
        <w:rPr>
          <w:rFonts w:ascii="Cambria" w:hAnsi="Cambria" w:cs="Arial"/>
          <w:szCs w:val="24"/>
        </w:rPr>
        <w:t xml:space="preserve"> Los Núcleos de Aprendizajes Prioritarios (NAP) como marco de referencia para la selección y secuenciación de los contenidos matemáticos. El Diseño Curricular de la Educación Primaria: encuadre teórico-metodológico, estructura organizativa y componentes curriculares, bloques temáticos y ejes organizadores, orientaciones didácticas para la enseñanza de la matemática </w:t>
      </w:r>
    </w:p>
    <w:p w14:paraId="28ADCF6E" w14:textId="77777777" w:rsidR="00FE1DC1" w:rsidRPr="002B5F68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  <w:r w:rsidRPr="002B5F68">
        <w:rPr>
          <w:rFonts w:ascii="Cambria" w:hAnsi="Cambria" w:cs="Arial"/>
          <w:szCs w:val="24"/>
        </w:rPr>
        <w:t>Los contenidos propuestos por las políticas educativas en los documentos curriculares y en las propuestas editoriales. Su relación con las competencias a desarrollar en los estudiantes</w:t>
      </w:r>
    </w:p>
    <w:p w14:paraId="2EFB87E7" w14:textId="77777777" w:rsidR="00FE1DC1" w:rsidRPr="002B5F68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  <w:r w:rsidRPr="002B5F68">
        <w:rPr>
          <w:rFonts w:ascii="Cambria" w:hAnsi="Cambria" w:cs="Arial"/>
          <w:szCs w:val="24"/>
        </w:rPr>
        <w:t xml:space="preserve">  El proceso de transposición didáctica: de los conocimientos científicos a los conocimientos escolares.  La planificación de secuencias didácticas: principios que las sustentan y elementos que la configuran. Elaboración de secuencias de enseñanza. </w:t>
      </w:r>
    </w:p>
    <w:p w14:paraId="029973B3" w14:textId="77777777" w:rsidR="00FE1DC1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</w:p>
    <w:p w14:paraId="53F85824" w14:textId="77777777" w:rsidR="00FE1DC1" w:rsidRPr="00FE1DC1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bCs/>
          <w:szCs w:val="24"/>
        </w:rPr>
      </w:pPr>
      <w:r w:rsidRPr="00FE1DC1">
        <w:rPr>
          <w:rFonts w:ascii="Cambria" w:hAnsi="Cambria" w:cs="Arial"/>
          <w:b/>
          <w:bCs/>
          <w:szCs w:val="24"/>
        </w:rPr>
        <w:t>Unidad N° 3: La enseñanza del número y la numeración.</w:t>
      </w:r>
    </w:p>
    <w:p w14:paraId="795A4D2C" w14:textId="77777777" w:rsidR="00FE1DC1" w:rsidRPr="00261D55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</w:p>
    <w:p w14:paraId="184F77A4" w14:textId="77777777" w:rsidR="00FE1DC1" w:rsidRPr="002B5F68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  <w:r w:rsidRPr="002B5F68">
        <w:rPr>
          <w:rFonts w:ascii="Cambria" w:hAnsi="Cambria" w:cs="Arial"/>
          <w:szCs w:val="24"/>
        </w:rPr>
        <w:t xml:space="preserve"> El sistema de numeración decimal y posicional con cifras indoarábigas. Sus orígenes en la resolución de problemas de conteo. El valor posicional y relativo de las cifras en el sistema decimal de numeración: Importancia de la posicionalidad.</w:t>
      </w:r>
    </w:p>
    <w:p w14:paraId="3BAD7C5C" w14:textId="77777777" w:rsidR="00FE1DC1" w:rsidRPr="002B5F68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  <w:r w:rsidRPr="002B5F68">
        <w:rPr>
          <w:rFonts w:ascii="Cambria" w:hAnsi="Cambria" w:cs="Arial"/>
          <w:szCs w:val="24"/>
        </w:rPr>
        <w:t xml:space="preserve"> Diferentes enfoques en la enseñanza del número y del sistema de numeración. Sus fundamentos psicológicos, didácticos y disciplinares matemáticos. Aportes de las investigaciones realizadas en el ámbito de la didáctica de la matemática: Principios didácticos para la enseñanza y el aprendizaje de la numeración escrita y oral. Aprendizaje de los primeros números y sus relaciones con las estructuras operatorias. Principios que posibilitan el conteo de pequeñas y grandes colecciones. Importancia de la conservación de las cantidades discretas Importancia de los juegos didácticos en los primeros años de la escolaridad.</w:t>
      </w:r>
    </w:p>
    <w:p w14:paraId="0988AE97" w14:textId="494F2E15" w:rsidR="00FE1DC1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  <w:r w:rsidRPr="002B5F68">
        <w:rPr>
          <w:rFonts w:ascii="Cambria" w:hAnsi="Cambria" w:cs="Arial"/>
          <w:szCs w:val="24"/>
        </w:rPr>
        <w:t xml:space="preserve">Estrategias y recursos didácticos que se utilizan en las situaciones de clase y en las propuestas editoriales: análisis crítico. </w:t>
      </w:r>
    </w:p>
    <w:p w14:paraId="7DA7C726" w14:textId="288FEFBF" w:rsidR="00FE1DC1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</w:p>
    <w:p w14:paraId="00295D5D" w14:textId="77777777" w:rsidR="00FE1DC1" w:rsidRPr="00FE1DC1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bCs/>
          <w:szCs w:val="24"/>
        </w:rPr>
      </w:pPr>
      <w:r w:rsidRPr="00FE1DC1">
        <w:rPr>
          <w:rFonts w:ascii="Cambria" w:hAnsi="Cambria" w:cs="Arial"/>
          <w:b/>
          <w:bCs/>
          <w:szCs w:val="24"/>
        </w:rPr>
        <w:t>Unidad N° 4: Las operaciones matemáticas.</w:t>
      </w:r>
    </w:p>
    <w:p w14:paraId="4DEF7434" w14:textId="77777777" w:rsidR="00FE1DC1" w:rsidRPr="00261D55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</w:p>
    <w:p w14:paraId="21F1364B" w14:textId="77777777" w:rsidR="00FE1DC1" w:rsidRPr="002B5F68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  <w:r w:rsidRPr="002B5F68">
        <w:rPr>
          <w:rFonts w:ascii="Cambria" w:hAnsi="Cambria" w:cs="Arial"/>
          <w:szCs w:val="24"/>
        </w:rPr>
        <w:t>Enseñanza</w:t>
      </w:r>
      <w:r>
        <w:rPr>
          <w:rFonts w:ascii="Cambria" w:hAnsi="Cambria" w:cs="Arial"/>
          <w:szCs w:val="24"/>
        </w:rPr>
        <w:t xml:space="preserve"> de  l</w:t>
      </w:r>
      <w:r w:rsidRPr="002B5F68">
        <w:rPr>
          <w:rFonts w:ascii="Cambria" w:hAnsi="Cambria" w:cs="Arial"/>
          <w:szCs w:val="24"/>
        </w:rPr>
        <w:t>as operaciones aditivas. Distintos significados de la suma y de la resta. Tipos de problemas según las medidas y las transformaciones que están involucrados. El algoritmo de las operaciones como producto del Sistema de Numeración Decimal. El signo de</w:t>
      </w:r>
      <w:r>
        <w:rPr>
          <w:rFonts w:ascii="Cambria" w:hAnsi="Cambria" w:cs="Arial"/>
          <w:szCs w:val="24"/>
        </w:rPr>
        <w:t xml:space="preserve"> </w:t>
      </w:r>
      <w:r w:rsidRPr="002B5F68">
        <w:rPr>
          <w:rFonts w:ascii="Cambria" w:hAnsi="Cambria" w:cs="Arial"/>
          <w:szCs w:val="24"/>
        </w:rPr>
        <w:t>las operaciones para expresar simbólicamente las acciones realizadas. Propuesta de actividades que posibilitan la producción de escrituras matemáticas, los procedimientos para resolver sumas y resta. Las operaciones multiplicativas. El sentido de las operaciones de multiplicar y dividir. Las relaciones de proporcionalidad que subyacen a la multiplicación y a la división. Importancia del operador multiplicativo y la correspondencia múltiple en el proceso de transformación cuantitativa de las colecciones</w:t>
      </w:r>
    </w:p>
    <w:p w14:paraId="3DBC9BE9" w14:textId="77777777" w:rsidR="00FE1DC1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  <w:r w:rsidRPr="002B5F68">
        <w:rPr>
          <w:rFonts w:ascii="Cambria" w:hAnsi="Cambria" w:cs="Arial"/>
          <w:szCs w:val="24"/>
        </w:rPr>
        <w:lastRenderedPageBreak/>
        <w:t>Situaciones didácticas que favorecen la construcción de la correspondencia múltiple y el descubrimiento del operador multiplicativo: manipulativas, verbales y de simbolización gráfica.</w:t>
      </w:r>
    </w:p>
    <w:p w14:paraId="07B60A1F" w14:textId="77777777" w:rsidR="00FE1DC1" w:rsidRDefault="00FE1DC1" w:rsidP="00FE1DC1">
      <w:pPr>
        <w:pStyle w:val="Sangradetextonormal"/>
        <w:ind w:firstLine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bCs/>
          <w:i/>
          <w:iCs/>
          <w:szCs w:val="24"/>
          <w:u w:val="single"/>
        </w:rPr>
      </w:pPr>
    </w:p>
    <w:p w14:paraId="6DAEFDE2" w14:textId="77777777" w:rsidR="00FE1DC1" w:rsidRPr="00FE1DC1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b/>
          <w:bCs/>
          <w:szCs w:val="24"/>
        </w:rPr>
      </w:pPr>
      <w:r w:rsidRPr="00FE1DC1">
        <w:rPr>
          <w:rFonts w:ascii="Cambria" w:hAnsi="Cambria" w:cs="Arial"/>
          <w:b/>
          <w:bCs/>
          <w:szCs w:val="24"/>
        </w:rPr>
        <w:t xml:space="preserve">Unidad 5: Geometría </w:t>
      </w:r>
    </w:p>
    <w:p w14:paraId="6D4EB0E6" w14:textId="77777777" w:rsidR="00FE1DC1" w:rsidRPr="00261D55" w:rsidRDefault="00FE1DC1" w:rsidP="00FE1DC1">
      <w:pPr>
        <w:spacing w:line="276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</w:p>
    <w:p w14:paraId="7EE553AC" w14:textId="77777777" w:rsidR="00FE1DC1" w:rsidRPr="002B5F68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  <w:lang w:eastAsia="es-AR"/>
        </w:rPr>
      </w:pPr>
      <w:r w:rsidRPr="002B5F68">
        <w:rPr>
          <w:rFonts w:ascii="Cambria" w:hAnsi="Cambria" w:cs="Arial"/>
          <w:szCs w:val="24"/>
          <w:lang w:eastAsia="es-AR"/>
        </w:rPr>
        <w:t>La geometría en la matemática de la escuela. Situaciones para la enseñanza en la escuela primaria.</w:t>
      </w:r>
      <w:r>
        <w:rPr>
          <w:rFonts w:ascii="Cambria" w:hAnsi="Cambria" w:cs="Arial"/>
          <w:szCs w:val="24"/>
          <w:lang w:eastAsia="es-AR"/>
        </w:rPr>
        <w:t xml:space="preserve"> Aspectos didácticos de la enseñanza de la medida. </w:t>
      </w:r>
      <w:r w:rsidRPr="002B5F68">
        <w:rPr>
          <w:rFonts w:ascii="Cambria" w:hAnsi="Cambria" w:cs="Arial"/>
          <w:szCs w:val="24"/>
          <w:lang w:eastAsia="es-AR"/>
        </w:rPr>
        <w:t xml:space="preserve"> Los alumnos y la geometría. Teorías del aprendizaje desde y para los saberes geométricos. </w:t>
      </w:r>
    </w:p>
    <w:p w14:paraId="3EC7F1E2" w14:textId="77777777" w:rsidR="00FE1DC1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  <w:lang w:eastAsia="es-AR"/>
        </w:rPr>
      </w:pPr>
      <w:r w:rsidRPr="002B5F68">
        <w:rPr>
          <w:rFonts w:ascii="Cambria" w:hAnsi="Cambria" w:cs="Arial"/>
          <w:szCs w:val="24"/>
          <w:lang w:eastAsia="es-AR"/>
        </w:rPr>
        <w:t>La conducción del proceso de aprendizaje de la geometría. La profesionalización de la actividad d enseñar geometría. Recursos para enseñar geometría.</w:t>
      </w:r>
    </w:p>
    <w:p w14:paraId="34ED3E71" w14:textId="2D2540DA" w:rsidR="00FE1DC1" w:rsidRPr="002B5F68" w:rsidRDefault="00FE1DC1" w:rsidP="00FE1DC1">
      <w:pPr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Cambria" w:hAnsi="Cambria" w:cs="Arial"/>
          <w:szCs w:val="24"/>
        </w:rPr>
      </w:pPr>
    </w:p>
    <w:p w14:paraId="310F1721" w14:textId="77777777" w:rsidR="00FE1DC1" w:rsidRPr="00FE1DC1" w:rsidRDefault="00FE1DC1" w:rsidP="00FE1DC1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</w:rPr>
      </w:pPr>
      <w:r w:rsidRPr="00FE1DC1">
        <w:rPr>
          <w:b/>
          <w:bCs/>
        </w:rPr>
        <w:t>EVALUACIÓN:</w:t>
      </w:r>
    </w:p>
    <w:p w14:paraId="2AF72435" w14:textId="77777777" w:rsidR="00FE1DC1" w:rsidRPr="00FE1DC1" w:rsidRDefault="00FE1DC1" w:rsidP="00FE1DC1">
      <w:pPr>
        <w:ind w:firstLine="426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b/>
          <w:bCs/>
        </w:rPr>
      </w:pPr>
      <w:r w:rsidRPr="00FE1DC1">
        <w:rPr>
          <w:rFonts w:ascii="Calibri" w:hAnsi="Calibri" w:cs="Calibri"/>
          <w:b/>
          <w:bCs/>
        </w:rPr>
        <w:t>MEDIOS:</w:t>
      </w:r>
    </w:p>
    <w:p w14:paraId="6634C936" w14:textId="77777777" w:rsidR="00FE1DC1" w:rsidRPr="001C574C" w:rsidRDefault="00FE1DC1" w:rsidP="00FE1DC1">
      <w:pPr>
        <w:numPr>
          <w:ilvl w:val="0"/>
          <w:numId w:val="2"/>
        </w:num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b/>
          <w:lang w:val="es-AR"/>
        </w:rPr>
      </w:pPr>
      <w:r w:rsidRPr="001C574C">
        <w:rPr>
          <w:rFonts w:ascii="Calibri" w:hAnsi="Calibri" w:cs="Calibri"/>
          <w:lang w:val="es-AR"/>
        </w:rPr>
        <w:t xml:space="preserve">Portafolio electrónico </w:t>
      </w:r>
    </w:p>
    <w:p w14:paraId="40A3A6A5" w14:textId="77777777" w:rsidR="00FE1DC1" w:rsidRPr="001C574C" w:rsidRDefault="00FE1DC1" w:rsidP="00FE1DC1">
      <w:pPr>
        <w:numPr>
          <w:ilvl w:val="0"/>
          <w:numId w:val="2"/>
        </w:num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b/>
          <w:lang w:val="es-AR"/>
        </w:rPr>
      </w:pPr>
      <w:bookmarkStart w:id="0" w:name="_GoBack"/>
      <w:bookmarkEnd w:id="0"/>
      <w:r>
        <w:rPr>
          <w:rFonts w:ascii="Calibri" w:hAnsi="Calibri" w:cs="Calibri"/>
          <w:lang w:val="es-AR"/>
        </w:rPr>
        <w:t>Secuencias de actividades</w:t>
      </w:r>
    </w:p>
    <w:p w14:paraId="613CDBDC" w14:textId="77777777" w:rsidR="00FE1DC1" w:rsidRPr="001C574C" w:rsidRDefault="00FE1DC1" w:rsidP="00FE1DC1">
      <w:pPr>
        <w:numPr>
          <w:ilvl w:val="0"/>
          <w:numId w:val="2"/>
        </w:numPr>
        <w:tabs>
          <w:tab w:val="num" w:pos="720"/>
        </w:tabs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b/>
          <w:lang w:val="es-AR"/>
        </w:rPr>
      </w:pPr>
      <w:r w:rsidRPr="001C574C">
        <w:rPr>
          <w:rFonts w:ascii="Calibri" w:hAnsi="Calibri" w:cs="Calibri"/>
          <w:lang w:val="es-AR"/>
        </w:rPr>
        <w:t>Secuencias didácticas</w:t>
      </w:r>
    </w:p>
    <w:p w14:paraId="76CB718B" w14:textId="1AB32EBC" w:rsidR="00FE1DC1" w:rsidRPr="001C574C" w:rsidRDefault="00FE1DC1" w:rsidP="00FE1DC1">
      <w:pPr>
        <w:numPr>
          <w:ilvl w:val="0"/>
          <w:numId w:val="2"/>
        </w:numPr>
        <w:tabs>
          <w:tab w:val="num" w:pos="720"/>
        </w:tabs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b/>
          <w:lang w:val="es-AR"/>
        </w:rPr>
      </w:pPr>
      <w:r w:rsidRPr="001C574C">
        <w:rPr>
          <w:rFonts w:ascii="Calibri" w:hAnsi="Calibri" w:cs="Calibri"/>
          <w:lang w:val="es-AR"/>
        </w:rPr>
        <w:t>Exposiciones orales</w:t>
      </w:r>
      <w:r w:rsidRPr="001C574C">
        <w:rPr>
          <w:rFonts w:ascii="Calibri" w:hAnsi="Calibri" w:cs="Calibri"/>
          <w:lang w:val="es-AR"/>
        </w:rPr>
        <w:t>.</w:t>
      </w:r>
    </w:p>
    <w:p w14:paraId="75CFCD8A" w14:textId="77777777" w:rsidR="00FE1DC1" w:rsidRPr="001C574C" w:rsidRDefault="00FE1DC1" w:rsidP="00FE1DC1">
      <w:pPr>
        <w:numPr>
          <w:ilvl w:val="0"/>
          <w:numId w:val="2"/>
        </w:numPr>
        <w:tabs>
          <w:tab w:val="num" w:pos="720"/>
        </w:tabs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b/>
          <w:lang w:val="es-AR"/>
        </w:rPr>
      </w:pPr>
      <w:r w:rsidRPr="001C574C">
        <w:rPr>
          <w:rFonts w:ascii="Calibri" w:hAnsi="Calibri" w:cs="Calibri"/>
          <w:lang w:val="es-AR"/>
        </w:rPr>
        <w:t>Simulaciones</w:t>
      </w:r>
    </w:p>
    <w:p w14:paraId="534364A5" w14:textId="77777777" w:rsidR="00FE1DC1" w:rsidRPr="00FE1DC1" w:rsidRDefault="00FE1DC1" w:rsidP="00FE1DC1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b/>
          <w:bCs/>
          <w:lang w:val="es-AR"/>
        </w:rPr>
      </w:pPr>
      <w:r w:rsidRPr="00FE1DC1">
        <w:rPr>
          <w:rFonts w:ascii="Calibri" w:hAnsi="Calibri" w:cs="Calibri"/>
          <w:b/>
          <w:bCs/>
          <w:lang w:val="es-AR"/>
        </w:rPr>
        <w:t xml:space="preserve">        INSTRUMENTOS:</w:t>
      </w:r>
    </w:p>
    <w:p w14:paraId="5B78E934" w14:textId="77777777" w:rsidR="00FE1DC1" w:rsidRPr="001C574C" w:rsidRDefault="00FE1DC1" w:rsidP="00FE1DC1">
      <w:pPr>
        <w:numPr>
          <w:ilvl w:val="0"/>
          <w:numId w:val="2"/>
        </w:numPr>
        <w:tabs>
          <w:tab w:val="num" w:pos="720"/>
        </w:tabs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b/>
          <w:lang w:val="es-AR"/>
        </w:rPr>
      </w:pPr>
      <w:r w:rsidRPr="001C574C">
        <w:rPr>
          <w:rFonts w:ascii="Calibri" w:hAnsi="Calibri" w:cs="Calibri"/>
          <w:lang w:val="es-AR"/>
        </w:rPr>
        <w:t>Rúbrica</w:t>
      </w:r>
    </w:p>
    <w:p w14:paraId="489752DF" w14:textId="77777777" w:rsidR="00FE1DC1" w:rsidRDefault="00FE1DC1" w:rsidP="00FE1DC1">
      <w:pPr>
        <w:numPr>
          <w:ilvl w:val="0"/>
          <w:numId w:val="2"/>
        </w:numPr>
        <w:tabs>
          <w:tab w:val="num" w:pos="720"/>
        </w:tabs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lang w:val="es-AR"/>
        </w:rPr>
      </w:pPr>
      <w:r w:rsidRPr="001C574C">
        <w:rPr>
          <w:rFonts w:ascii="Calibri" w:hAnsi="Calibri" w:cs="Calibri"/>
          <w:lang w:val="es-AR"/>
        </w:rPr>
        <w:t>Lista de Control</w:t>
      </w:r>
    </w:p>
    <w:p w14:paraId="70530CD3" w14:textId="77777777" w:rsidR="00FE1DC1" w:rsidRDefault="00FE1DC1" w:rsidP="00FE1DC1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lang w:val="es-AR"/>
        </w:rPr>
      </w:pPr>
    </w:p>
    <w:p w14:paraId="3D1FF65C" w14:textId="340FA844" w:rsidR="00FE1DC1" w:rsidRPr="00FE1DC1" w:rsidRDefault="00FE1DC1" w:rsidP="00FE1DC1">
      <w:pPr>
        <w:ind w:firstLine="426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b/>
          <w:bCs/>
        </w:rPr>
      </w:pPr>
      <w:r w:rsidRPr="00FE1DC1">
        <w:rPr>
          <w:rFonts w:ascii="Calibri" w:hAnsi="Calibri" w:cs="Calibri"/>
          <w:b/>
          <w:bCs/>
        </w:rPr>
        <w:t xml:space="preserve">CRITERIOS: </w:t>
      </w:r>
    </w:p>
    <w:p w14:paraId="787DF05D" w14:textId="2E710CDF" w:rsidR="00FE1DC1" w:rsidRDefault="00FE1DC1" w:rsidP="00FE1DC1">
      <w:pPr>
        <w:jc w:val="both"/>
        <w:rPr>
          <w:rFonts w:ascii="Calibri" w:eastAsia="Arial Unicode MS" w:hAnsi="Calibri" w:cs="Calibri"/>
        </w:rPr>
      </w:pPr>
      <w:r w:rsidRPr="001C574C">
        <w:rPr>
          <w:rFonts w:ascii="Calibri" w:eastAsia="Arial Unicode MS" w:hAnsi="Calibri" w:cs="Calibri"/>
        </w:rPr>
        <w:t xml:space="preserve"> Se tendrá en cuenta su capacidad para: observar, describir, explicar, comparar, distinguir, definir, relacionar la teoría para comprender los hechos escolares, fundamentar científicamente, analizar, sintetizar adecuadamente la información, transferir conocimiento a situaciones problemáticas, ejemplificar concretamente y argumentar los problemas de la</w:t>
      </w:r>
      <w:r w:rsidR="00033724">
        <w:rPr>
          <w:rFonts w:ascii="Calibri" w:eastAsia="Arial Unicode MS" w:hAnsi="Calibri" w:cs="Calibri"/>
        </w:rPr>
        <w:t xml:space="preserve"> práctica áulica, juzgar críticamente. </w:t>
      </w:r>
      <w:r w:rsidRPr="001C574C">
        <w:rPr>
          <w:rFonts w:ascii="Calibri" w:eastAsia="Arial Unicode MS" w:hAnsi="Calibri" w:cs="Calibri"/>
        </w:rPr>
        <w:t xml:space="preserve">Expresión clara, uso de terminología específica, claridad conceptual en sus actuaciones en clase, ortografía y redacción, organización y coherencia lógica, presentación adecuada. Se </w:t>
      </w:r>
      <w:r w:rsidR="00033724" w:rsidRPr="001C574C">
        <w:rPr>
          <w:rFonts w:ascii="Calibri" w:eastAsia="Arial Unicode MS" w:hAnsi="Calibri" w:cs="Calibri"/>
        </w:rPr>
        <w:t>considerarán,</w:t>
      </w:r>
      <w:r w:rsidRPr="001C574C">
        <w:rPr>
          <w:rFonts w:ascii="Calibri" w:eastAsia="Arial Unicode MS" w:hAnsi="Calibri" w:cs="Calibri"/>
        </w:rPr>
        <w:t xml:space="preserve"> además, la participación, realización de las tareas propuestas y asunción de responsabilidades, presentación de iniciativas, actitudes de respeto, cooperación y solidaridad dentro del grupo</w:t>
      </w:r>
      <w:r w:rsidR="00033724">
        <w:rPr>
          <w:rFonts w:ascii="Calibri" w:eastAsia="Arial Unicode MS" w:hAnsi="Calibri" w:cs="Calibri"/>
        </w:rPr>
        <w:t>.</w:t>
      </w:r>
    </w:p>
    <w:p w14:paraId="42078A13" w14:textId="3648C42F" w:rsidR="00033724" w:rsidRDefault="00033724" w:rsidP="00FE1DC1">
      <w:pPr>
        <w:jc w:val="both"/>
        <w:rPr>
          <w:rFonts w:ascii="Calibri" w:eastAsia="Arial Unicode MS" w:hAnsi="Calibri" w:cs="Calibri"/>
        </w:rPr>
      </w:pPr>
    </w:p>
    <w:p w14:paraId="209B0B47" w14:textId="4DF75C52" w:rsidR="00033724" w:rsidRPr="00033724" w:rsidRDefault="00033724" w:rsidP="00FE1DC1">
      <w:pPr>
        <w:jc w:val="both"/>
        <w:rPr>
          <w:rFonts w:ascii="Calibri" w:eastAsia="Arial Unicode MS" w:hAnsi="Calibri" w:cs="Calibri"/>
          <w:b/>
          <w:bCs/>
        </w:rPr>
      </w:pPr>
      <w:r w:rsidRPr="00033724">
        <w:rPr>
          <w:rFonts w:ascii="Calibri" w:eastAsia="Arial Unicode MS" w:hAnsi="Calibri" w:cs="Calibri"/>
          <w:b/>
          <w:bCs/>
        </w:rPr>
        <w:t>NO SE SOLICITA PRODUCCIÓN FINAL</w:t>
      </w:r>
    </w:p>
    <w:p w14:paraId="2B3465BC" w14:textId="142FB3D8" w:rsidR="00033724" w:rsidRDefault="00033724" w:rsidP="00FE1DC1">
      <w:pPr>
        <w:jc w:val="both"/>
        <w:rPr>
          <w:rFonts w:ascii="Calibri" w:eastAsia="Arial Unicode MS" w:hAnsi="Calibri" w:cs="Calibri"/>
        </w:rPr>
      </w:pPr>
    </w:p>
    <w:p w14:paraId="67F2B6A6" w14:textId="77777777" w:rsidR="00033724" w:rsidRPr="00033724" w:rsidRDefault="00033724" w:rsidP="00033724">
      <w:pPr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b/>
          <w:bCs/>
          <w:szCs w:val="22"/>
        </w:rPr>
      </w:pPr>
      <w:r w:rsidRPr="00033724">
        <w:rPr>
          <w:rFonts w:asciiTheme="minorHAnsi" w:hAnsiTheme="minorHAnsi" w:cstheme="minorHAnsi"/>
          <w:b/>
          <w:bCs/>
          <w:szCs w:val="22"/>
        </w:rPr>
        <w:t>BIBLIOGRAFÍA</w:t>
      </w:r>
    </w:p>
    <w:p w14:paraId="6555FC42" w14:textId="77777777" w:rsidR="00033724" w:rsidRDefault="00033724" w:rsidP="00033724">
      <w:pPr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szCs w:val="22"/>
        </w:rPr>
      </w:pPr>
    </w:p>
    <w:p w14:paraId="2EBB56C8" w14:textId="50A9E475" w:rsidR="00033724" w:rsidRPr="00D725BA" w:rsidRDefault="00033724" w:rsidP="00033724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szCs w:val="24"/>
        </w:rPr>
      </w:pPr>
      <w:r w:rsidRPr="00D725BA">
        <w:rPr>
          <w:rFonts w:asciiTheme="minorHAnsi" w:hAnsiTheme="minorHAnsi" w:cstheme="minorHAnsi"/>
          <w:szCs w:val="24"/>
        </w:rPr>
        <w:t xml:space="preserve">En el </w:t>
      </w:r>
      <w:r>
        <w:rPr>
          <w:rFonts w:asciiTheme="minorHAnsi" w:hAnsiTheme="minorHAnsi" w:cstheme="minorHAnsi"/>
          <w:szCs w:val="24"/>
        </w:rPr>
        <w:t>Aula virtual</w:t>
      </w:r>
      <w:r w:rsidRPr="00D725BA">
        <w:rPr>
          <w:rFonts w:asciiTheme="minorHAnsi" w:hAnsiTheme="minorHAnsi" w:cstheme="minorHAnsi"/>
          <w:szCs w:val="24"/>
        </w:rPr>
        <w:t xml:space="preserve"> se encuentra el Material digitalizado con todas las orientaciones que necesitan.</w:t>
      </w:r>
    </w:p>
    <w:p w14:paraId="63FCF239" w14:textId="77777777" w:rsidR="00033724" w:rsidRPr="00D725BA" w:rsidRDefault="00033724" w:rsidP="00033724">
      <w:pPr>
        <w:pStyle w:val="NormalWeb"/>
        <w:tabs>
          <w:tab w:val="left" w:pos="2370"/>
        </w:tabs>
        <w:spacing w:before="0" w:beforeAutospacing="0" w:after="0" w:afterAutospacing="0" w:line="360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b/>
        </w:rPr>
      </w:pPr>
      <w:r w:rsidRPr="00D725BA">
        <w:rPr>
          <w:rFonts w:asciiTheme="minorHAnsi" w:hAnsiTheme="minorHAnsi" w:cstheme="minorHAnsi"/>
        </w:rPr>
        <w:t xml:space="preserve"> </w:t>
      </w:r>
    </w:p>
    <w:p w14:paraId="79E55E0E" w14:textId="77777777" w:rsidR="00033724" w:rsidRPr="00765768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 w:rsidRPr="00765768">
        <w:rPr>
          <w:rFonts w:cstheme="minorHAnsi"/>
          <w:lang w:val="es-ES"/>
        </w:rPr>
        <w:t>Cecilia Parra e Irma Saiz: “Didácticas de Matemáticas”. Aportes y reflexiones. Paidos Educador.</w:t>
      </w:r>
    </w:p>
    <w:p w14:paraId="6F5627C2" w14:textId="77777777" w:rsidR="00033724" w:rsidRPr="00765768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 w:rsidRPr="00765768">
        <w:rPr>
          <w:rFonts w:cstheme="minorHAnsi"/>
          <w:lang w:val="es-ES"/>
        </w:rPr>
        <w:t>Chamorro, Carmen: Colección Didáctica Primaria. Didáctica de las Matemáticas. Editorial Pearson.</w:t>
      </w:r>
    </w:p>
    <w:p w14:paraId="5740343D" w14:textId="77777777" w:rsidR="00033724" w:rsidRPr="00765768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 w:rsidRPr="00765768">
        <w:rPr>
          <w:rFonts w:cstheme="minorHAnsi"/>
          <w:lang w:val="es-ES"/>
        </w:rPr>
        <w:t>Adriana Castros y otros: “Enseñar Matemática en la escuela Primaria”. Edit. Tinta Fresca.</w:t>
      </w:r>
    </w:p>
    <w:p w14:paraId="5520DE40" w14:textId="77777777" w:rsidR="00033724" w:rsidRPr="00765768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 w:rsidRPr="00765768">
        <w:rPr>
          <w:rFonts w:cstheme="minorHAnsi"/>
          <w:lang w:val="es-ES"/>
        </w:rPr>
        <w:lastRenderedPageBreak/>
        <w:t>Orientaciones Didácticas para el trabajo con los números en los Primeros años de la EGB. Dirección General de Cultura y Educación.</w:t>
      </w:r>
    </w:p>
    <w:p w14:paraId="68FB3223" w14:textId="77777777" w:rsidR="00033724" w:rsidRPr="00765768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 w:rsidRPr="00765768">
        <w:rPr>
          <w:rFonts w:cstheme="minorHAnsi"/>
          <w:lang w:val="es-ES"/>
        </w:rPr>
        <w:t>Claudia, Broitman: “Las operaciones en el primer ciclo”. Aportes para el trabajo en el aula. Ediciones Novedades Educativas.</w:t>
      </w:r>
    </w:p>
    <w:p w14:paraId="07BF5058" w14:textId="77777777" w:rsidR="00033724" w:rsidRPr="00765768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>
        <w:rPr>
          <w:rFonts w:cstheme="minorHAnsi"/>
          <w:lang w:val="es-ES"/>
        </w:rPr>
        <w:t>L</w:t>
      </w:r>
      <w:r w:rsidRPr="00765768">
        <w:rPr>
          <w:rFonts w:cstheme="minorHAnsi"/>
          <w:lang w:val="es-ES"/>
        </w:rPr>
        <w:t>as Prioridades Pedagógicas de la Escuela. 3° Ciclo E.G.B. Plan Social Educativo.</w:t>
      </w:r>
    </w:p>
    <w:p w14:paraId="5179FB76" w14:textId="77777777" w:rsidR="00033724" w:rsidRPr="00765768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 w:rsidRPr="00765768">
        <w:rPr>
          <w:rFonts w:cstheme="minorHAnsi"/>
          <w:lang w:val="es-ES"/>
        </w:rPr>
        <w:t>Núcleos de Aprendizajes Prioritarios. E.G.B/Primaria</w:t>
      </w:r>
    </w:p>
    <w:p w14:paraId="4FB0C03F" w14:textId="77777777" w:rsidR="00033724" w:rsidRPr="00765768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 w:rsidRPr="00765768">
        <w:rPr>
          <w:rFonts w:cstheme="minorHAnsi"/>
          <w:lang w:val="es-ES"/>
        </w:rPr>
        <w:t>Documentos Curriculares.</w:t>
      </w:r>
    </w:p>
    <w:p w14:paraId="4ACC1DAF" w14:textId="77777777" w:rsidR="00033724" w:rsidRPr="00765768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 w:rsidRPr="00765768">
        <w:rPr>
          <w:rFonts w:cstheme="minorHAnsi"/>
          <w:lang w:val="es-ES"/>
        </w:rPr>
        <w:t>Itzcovich, Horacio: “Iniciación al estudio didáctico de la geometría. De las construcciones a las demostraciones”. Libros del Zorzal</w:t>
      </w:r>
    </w:p>
    <w:p w14:paraId="139B9287" w14:textId="77777777" w:rsidR="00033724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lang w:val="es-ES"/>
        </w:rPr>
      </w:pPr>
      <w:r w:rsidRPr="00765768">
        <w:rPr>
          <w:rFonts w:cstheme="minorHAnsi"/>
          <w:lang w:val="es-ES"/>
        </w:rPr>
        <w:t>Compendio: los componentes de la planificación.</w:t>
      </w:r>
    </w:p>
    <w:p w14:paraId="5250F140" w14:textId="77777777" w:rsidR="00033724" w:rsidRPr="00D725BA" w:rsidRDefault="00033724" w:rsidP="00033724">
      <w:pPr>
        <w:pStyle w:val="Prrafodelista"/>
        <w:numPr>
          <w:ilvl w:val="0"/>
          <w:numId w:val="3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D725BA">
        <w:rPr>
          <w:rFonts w:cstheme="minorHAnsi"/>
        </w:rPr>
        <w:t xml:space="preserve">Orientaciones didácticas para la enseñanza de la multiplicación en los tres ciclos de la EGB. Documento Nº 4 - Año 2001. Provincia de </w:t>
      </w:r>
    </w:p>
    <w:p w14:paraId="06440489" w14:textId="77777777" w:rsidR="00033724" w:rsidRPr="00D725BA" w:rsidRDefault="00033724" w:rsidP="00033724">
      <w:pPr>
        <w:pStyle w:val="Prrafodelista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</w:rPr>
      </w:pPr>
      <w:r w:rsidRPr="00D725BA">
        <w:rPr>
          <w:rFonts w:cstheme="minorHAnsi"/>
        </w:rPr>
        <w:t xml:space="preserve">               Buenos Aires Dirección General de Cultura y Educación Gabinete Pedagógico Curricular – Matemática</w:t>
      </w:r>
    </w:p>
    <w:p w14:paraId="7A6EBEE7" w14:textId="77777777" w:rsidR="00033724" w:rsidRPr="00D725BA" w:rsidRDefault="00033724" w:rsidP="00033724">
      <w:pPr>
        <w:pStyle w:val="Prrafodelista"/>
        <w:numPr>
          <w:ilvl w:val="0"/>
          <w:numId w:val="3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</w:rPr>
      </w:pPr>
      <w:r w:rsidRPr="00D725BA">
        <w:rPr>
          <w:rFonts w:cstheme="minorHAnsi"/>
        </w:rPr>
        <w:t>SADOVSKY, Patricia. (2007) Enseñar Matemática hoy. Miradas sentidos y desafíos, Buenos Aires, Libros del Zorzal.</w:t>
      </w:r>
    </w:p>
    <w:p w14:paraId="059E9A89" w14:textId="77777777" w:rsidR="00033724" w:rsidRPr="00D725BA" w:rsidRDefault="00033724" w:rsidP="00033724">
      <w:pPr>
        <w:pStyle w:val="Prrafodelista"/>
        <w:numPr>
          <w:ilvl w:val="0"/>
          <w:numId w:val="3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  <w:r w:rsidRPr="00D725BA">
        <w:rPr>
          <w:rFonts w:cstheme="minorHAnsi"/>
        </w:rPr>
        <w:t>Orientaciones didácticas para la enseñanza de la división en los tres ciclos de la EGB. Documento Nº 2 - Año 2001. Provincia de Buenos</w:t>
      </w:r>
    </w:p>
    <w:p w14:paraId="05131115" w14:textId="71F7CBC0" w:rsidR="00033724" w:rsidRDefault="00033724" w:rsidP="00033724">
      <w:pPr>
        <w:jc w:val="both"/>
        <w:rPr>
          <w:rFonts w:cstheme="minorHAnsi"/>
        </w:rPr>
      </w:pPr>
      <w:r w:rsidRPr="00D725BA">
        <w:rPr>
          <w:rFonts w:cstheme="minorHAnsi"/>
        </w:rPr>
        <w:t xml:space="preserve">              Aires Dirección General de Cultura y Educación Gabinete Pedagógico Curricular – Matemática</w:t>
      </w:r>
    </w:p>
    <w:p w14:paraId="16B5FB93" w14:textId="77777777" w:rsidR="00033724" w:rsidRDefault="00033724" w:rsidP="00033724">
      <w:pPr>
        <w:pStyle w:val="Prrafodelista"/>
        <w:numPr>
          <w:ilvl w:val="0"/>
          <w:numId w:val="3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 w:rsidRPr="00D725BA">
        <w:rPr>
          <w:rFonts w:cstheme="minorHAnsi"/>
          <w:lang w:val="es-ES"/>
        </w:rPr>
        <w:t>Documento N° 3. Orientaciones Didácticas para la enseñanza de la geometría en EGB (2001). Buenos Aires. Dirección de Educación</w:t>
      </w:r>
    </w:p>
    <w:p w14:paraId="5E810081" w14:textId="77777777" w:rsidR="00033724" w:rsidRPr="00D725BA" w:rsidRDefault="00033724" w:rsidP="00033724">
      <w:pPr>
        <w:pStyle w:val="Prrafodelista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Cs/>
          <w:lang w:val="es-ES"/>
        </w:rPr>
      </w:pPr>
      <w:r>
        <w:rPr>
          <w:rFonts w:cstheme="minorHAnsi"/>
          <w:lang w:val="es-ES"/>
        </w:rPr>
        <w:t xml:space="preserve">            </w:t>
      </w:r>
      <w:r w:rsidRPr="00D725BA">
        <w:rPr>
          <w:rFonts w:cstheme="minorHAnsi"/>
          <w:lang w:val="es-ES"/>
        </w:rPr>
        <w:t xml:space="preserve">General Básica. Gabinete Pedagógico Curricular. Matemática. Disponible en </w:t>
      </w:r>
      <w:hyperlink r:id="rId8" w:history="1">
        <w:r w:rsidRPr="00D725BA">
          <w:rPr>
            <w:rStyle w:val="Hipervnculo"/>
            <w:rFonts w:cstheme="minorHAnsi"/>
            <w:lang w:val="es-ES"/>
          </w:rPr>
          <w:t>www.abc.gov.ar</w:t>
        </w:r>
      </w:hyperlink>
      <w:r w:rsidRPr="00D725BA">
        <w:rPr>
          <w:rFonts w:cstheme="minorHAnsi"/>
          <w:lang w:val="es-ES"/>
        </w:rPr>
        <w:t xml:space="preserve"> </w:t>
      </w:r>
    </w:p>
    <w:p w14:paraId="4A506A0E" w14:textId="15FD475B" w:rsidR="00033724" w:rsidRPr="00033724" w:rsidRDefault="00033724" w:rsidP="00033724">
      <w:pPr>
        <w:jc w:val="both"/>
        <w:rPr>
          <w:rFonts w:ascii="Calibri" w:eastAsia="Arial Unicode MS" w:hAnsi="Calibri" w:cs="Calibri"/>
        </w:rPr>
      </w:pPr>
      <w:r w:rsidRPr="00D725BA">
        <w:rPr>
          <w:rFonts w:cstheme="minorHAnsi"/>
          <w:lang w:val="es-ES"/>
        </w:rPr>
        <w:t>Documento N° 5 Dirección de Educación General  Básica. Gabinete Pedagógico Curricular. Matemática.</w:t>
      </w:r>
    </w:p>
    <w:sectPr w:rsidR="00033724" w:rsidRPr="00033724" w:rsidSect="009C2283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692FB" w14:textId="77777777" w:rsidR="00FE1DC1" w:rsidRDefault="00FE1DC1" w:rsidP="00FE1DC1">
      <w:r>
        <w:separator/>
      </w:r>
    </w:p>
  </w:endnote>
  <w:endnote w:type="continuationSeparator" w:id="0">
    <w:p w14:paraId="623202A2" w14:textId="77777777" w:rsidR="00FE1DC1" w:rsidRDefault="00FE1DC1" w:rsidP="00FE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D78D6" w14:textId="77777777" w:rsidR="00FE1DC1" w:rsidRDefault="00FE1DC1" w:rsidP="00FE1DC1">
      <w:r>
        <w:separator/>
      </w:r>
    </w:p>
  </w:footnote>
  <w:footnote w:type="continuationSeparator" w:id="0">
    <w:p w14:paraId="7613B809" w14:textId="77777777" w:rsidR="00FE1DC1" w:rsidRDefault="00FE1DC1" w:rsidP="00FE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77C9"/>
    <w:multiLevelType w:val="hybridMultilevel"/>
    <w:tmpl w:val="49D83582"/>
    <w:lvl w:ilvl="0" w:tplc="7E8E9B30">
      <w:start w:val="1"/>
      <w:numFmt w:val="bullet"/>
      <w:lvlText w:val=""/>
      <w:lvlJc w:val="left"/>
      <w:pPr>
        <w:ind w:left="772" w:hanging="360"/>
      </w:pPr>
      <w:rPr>
        <w:rFonts w:ascii="Wingdings" w:hAnsi="Wingdings" w:hint="default"/>
        <w:b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6CBC449B"/>
    <w:multiLevelType w:val="hybridMultilevel"/>
    <w:tmpl w:val="5C26BC18"/>
    <w:lvl w:ilvl="0" w:tplc="FEA48A40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E53B2"/>
    <w:multiLevelType w:val="hybridMultilevel"/>
    <w:tmpl w:val="E6EA5D94"/>
    <w:lvl w:ilvl="0" w:tplc="2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572A7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09DA45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E4F2B8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3F342D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D0000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3236BF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A9CA58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AB485920" w:tentative="1">
      <w:start w:val="1"/>
      <w:numFmt w:val="bullet"/>
      <w:lvlText w:val="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B3"/>
    <w:rsid w:val="00033724"/>
    <w:rsid w:val="009C2283"/>
    <w:rsid w:val="00B43CB8"/>
    <w:rsid w:val="00B507DB"/>
    <w:rsid w:val="00CD36B3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FB3A7"/>
  <w15:chartTrackingRefBased/>
  <w15:docId w15:val="{F76BDEC8-F7F9-4BC9-B57B-E55498C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C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D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DC1"/>
  </w:style>
  <w:style w:type="paragraph" w:styleId="Piedepgina">
    <w:name w:val="footer"/>
    <w:basedOn w:val="Normal"/>
    <w:link w:val="PiedepginaCar"/>
    <w:uiPriority w:val="99"/>
    <w:unhideWhenUsed/>
    <w:rsid w:val="00FE1D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DC1"/>
  </w:style>
  <w:style w:type="paragraph" w:styleId="Prrafodelista">
    <w:name w:val="List Paragraph"/>
    <w:basedOn w:val="Normal"/>
    <w:uiPriority w:val="34"/>
    <w:qFormat/>
    <w:rsid w:val="00FE1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Sangradetextonormal">
    <w:name w:val="Body Text Indent"/>
    <w:basedOn w:val="Normal"/>
    <w:link w:val="SangradetextonormalCar"/>
    <w:semiHidden/>
    <w:rsid w:val="00FE1DC1"/>
    <w:pPr>
      <w:ind w:firstLine="2977"/>
    </w:pPr>
    <w:rPr>
      <w:b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E1DC1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033724"/>
    <w:pPr>
      <w:spacing w:before="100" w:beforeAutospacing="1" w:after="100" w:afterAutospacing="1"/>
    </w:pPr>
    <w:rPr>
      <w:rFonts w:ascii="Times New Roman" w:hAnsi="Times New Roman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033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.gov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1318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2019-06-08T23:07:00Z</dcterms:created>
  <dcterms:modified xsi:type="dcterms:W3CDTF">2019-06-08T23:38:00Z</dcterms:modified>
</cp:coreProperties>
</file>